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19C0" w14:textId="77777777" w:rsidR="00636102" w:rsidRDefault="00636102" w:rsidP="00636102">
      <w:pPr>
        <w:pStyle w:val="Heading2"/>
      </w:pPr>
      <w:r w:rsidRPr="00636102">
        <w:t>Drug evidence watch: a process to the benefit of public health</w:t>
      </w:r>
    </w:p>
    <w:p w14:paraId="77367EB1" w14:textId="3A088DB4" w:rsidR="001E68D1" w:rsidRPr="00177999" w:rsidRDefault="001E68D1" w:rsidP="001E68D1">
      <w:pPr>
        <w:ind w:left="360" w:hanging="360"/>
        <w:rPr>
          <w:vertAlign w:val="superscript"/>
          <w:lang w:val="fr-BE"/>
        </w:rPr>
      </w:pPr>
      <w:r w:rsidRPr="00177999">
        <w:rPr>
          <w:lang w:val="fr-BE"/>
        </w:rPr>
        <w:t xml:space="preserve">Pan Pantziarka </w:t>
      </w:r>
      <w:r w:rsidRPr="00177999">
        <w:rPr>
          <w:vertAlign w:val="superscript"/>
          <w:lang w:val="fr-BE"/>
        </w:rPr>
        <w:t>1,2,</w:t>
      </w:r>
      <w:r w:rsidRPr="00177999">
        <w:rPr>
          <w:rFonts w:ascii="Arial" w:hAnsi="Arial" w:cs="Arial"/>
          <w:vertAlign w:val="superscript"/>
          <w:lang w:val="fr-BE"/>
        </w:rPr>
        <w:t xml:space="preserve"> §</w:t>
      </w:r>
      <w:r w:rsidRPr="00177999">
        <w:rPr>
          <w:lang w:val="fr-BE"/>
        </w:rPr>
        <w:t xml:space="preserve">, Ian Roberts </w:t>
      </w:r>
      <w:r w:rsidRPr="00177999">
        <w:rPr>
          <w:vertAlign w:val="superscript"/>
          <w:lang w:val="fr-BE"/>
        </w:rPr>
        <w:t>3</w:t>
      </w:r>
      <w:r w:rsidRPr="00177999">
        <w:rPr>
          <w:lang w:val="fr-BE"/>
        </w:rPr>
        <w:t xml:space="preserve">, </w:t>
      </w:r>
      <w:r>
        <w:rPr>
          <w:lang w:val="fr-BE"/>
        </w:rPr>
        <w:t>Patricia Vandamme</w:t>
      </w:r>
      <w:r w:rsidRPr="00177999">
        <w:rPr>
          <w:lang w:val="fr-BE"/>
        </w:rPr>
        <w:t xml:space="preserve"> </w:t>
      </w:r>
      <w:r w:rsidRPr="00177999">
        <w:rPr>
          <w:vertAlign w:val="superscript"/>
          <w:lang w:val="fr-BE"/>
        </w:rPr>
        <w:t>1</w:t>
      </w:r>
      <w:r>
        <w:rPr>
          <w:lang w:val="fr-BE"/>
        </w:rPr>
        <w:t xml:space="preserve">, </w:t>
      </w:r>
      <w:r w:rsidRPr="00177999">
        <w:rPr>
          <w:lang w:val="fr-BE"/>
        </w:rPr>
        <w:t xml:space="preserve">Lydie Meheus </w:t>
      </w:r>
      <w:r w:rsidRPr="00177999">
        <w:rPr>
          <w:vertAlign w:val="superscript"/>
          <w:lang w:val="fr-BE"/>
        </w:rPr>
        <w:t>1</w:t>
      </w:r>
      <w:r w:rsidRPr="00177999">
        <w:rPr>
          <w:lang w:val="fr-BE"/>
        </w:rPr>
        <w:t xml:space="preserve">, Gauthier Bouche </w:t>
      </w:r>
      <w:r w:rsidRPr="00177999">
        <w:rPr>
          <w:vertAlign w:val="superscript"/>
          <w:lang w:val="fr-BE"/>
        </w:rPr>
        <w:t>1</w:t>
      </w:r>
    </w:p>
    <w:p w14:paraId="00A74444" w14:textId="77777777" w:rsidR="001E68D1" w:rsidRPr="009C49FF" w:rsidRDefault="001E68D1" w:rsidP="001E68D1">
      <w:r w:rsidRPr="009C49FF">
        <w:rPr>
          <w:vertAlign w:val="superscript"/>
        </w:rPr>
        <w:t xml:space="preserve">1 </w:t>
      </w:r>
      <w:r w:rsidRPr="009C49FF">
        <w:t xml:space="preserve">Anticancer Fund, </w:t>
      </w:r>
      <w:r w:rsidRPr="00FD294E">
        <w:t>Brusselsesteenweg 11, 1860 Meise, Belgium</w:t>
      </w:r>
    </w:p>
    <w:p w14:paraId="2BF290D6" w14:textId="775049F9" w:rsidR="001E68D1" w:rsidRDefault="001E68D1" w:rsidP="001E68D1">
      <w:r w:rsidRPr="009C49FF">
        <w:rPr>
          <w:vertAlign w:val="superscript"/>
        </w:rPr>
        <w:t>2</w:t>
      </w:r>
      <w:r w:rsidRPr="009C49FF">
        <w:t xml:space="preserve"> The George Pantziarka TP53 Trust, London, </w:t>
      </w:r>
      <w:r w:rsidR="009102C5">
        <w:t xml:space="preserve">KT1 2JP, </w:t>
      </w:r>
      <w:r w:rsidRPr="009C49FF">
        <w:t>UK</w:t>
      </w:r>
    </w:p>
    <w:p w14:paraId="13AB3B10" w14:textId="77777777" w:rsidR="001E68D1" w:rsidRPr="009C49FF" w:rsidRDefault="001E68D1" w:rsidP="001E68D1">
      <w:r>
        <w:rPr>
          <w:vertAlign w:val="superscript"/>
          <w:lang w:eastAsia="en-US"/>
        </w:rPr>
        <w:t xml:space="preserve">3 </w:t>
      </w:r>
      <w:r>
        <w:t>Clinical Trials Unit, London School of Hygiene &amp; Tropical Medicine, London, WC1E 7HT, UK</w:t>
      </w:r>
    </w:p>
    <w:p w14:paraId="2B058136" w14:textId="77777777" w:rsidR="001E68D1" w:rsidRDefault="001E68D1" w:rsidP="001E68D1">
      <w:r w:rsidRPr="009C49FF">
        <w:rPr>
          <w:rFonts w:ascii="Arial" w:hAnsi="Arial" w:cs="Arial"/>
          <w:vertAlign w:val="superscript"/>
        </w:rPr>
        <w:t>§</w:t>
      </w:r>
      <w:r w:rsidRPr="009C49FF">
        <w:t>Corresponding author</w:t>
      </w:r>
    </w:p>
    <w:p w14:paraId="0D3AACC8" w14:textId="5EDD6054" w:rsidR="001E68D1" w:rsidRDefault="001E68D1" w:rsidP="001E68D1">
      <w:r>
        <w:t xml:space="preserve">Pan Pantziarka, </w:t>
      </w:r>
      <w:hyperlink r:id="rId8" w:history="1">
        <w:r w:rsidRPr="00536A7E">
          <w:rPr>
            <w:rStyle w:val="Hyperlink"/>
          </w:rPr>
          <w:t>pan.pantziarka@anticancerfund.org</w:t>
        </w:r>
      </w:hyperlink>
    </w:p>
    <w:p w14:paraId="1E284CFA" w14:textId="45306992" w:rsidR="001E68D1" w:rsidRDefault="00636102" w:rsidP="001F0DA1">
      <w:pPr>
        <w:pBdr>
          <w:bottom w:val="single" w:sz="6" w:space="1" w:color="auto"/>
        </w:pBdr>
      </w:pPr>
      <w:r>
        <w:t xml:space="preserve">This is a version of the paper published in the Lancet on </w:t>
      </w:r>
      <w:r w:rsidRPr="00636102">
        <w:t>April 12, 2023</w:t>
      </w:r>
      <w:r>
        <w:t xml:space="preserve">. Full text: </w:t>
      </w:r>
      <w:hyperlink r:id="rId9" w:history="1">
        <w:r w:rsidRPr="004D4069">
          <w:rPr>
            <w:rStyle w:val="Hyperlink"/>
          </w:rPr>
          <w:t>https://www.thelancet.com/journals/lancet/article/PIIS0140-6736(23)00633-5/fulltext</w:t>
        </w:r>
      </w:hyperlink>
    </w:p>
    <w:p w14:paraId="3DD4CE59" w14:textId="77777777" w:rsidR="00636102" w:rsidRDefault="00636102" w:rsidP="001F0DA1">
      <w:pPr>
        <w:pBdr>
          <w:bottom w:val="single" w:sz="6" w:space="1" w:color="auto"/>
        </w:pBdr>
      </w:pPr>
    </w:p>
    <w:p w14:paraId="7138D86E" w14:textId="2CA0ACED" w:rsidR="00806561" w:rsidRDefault="00636102" w:rsidP="00636102">
      <w:pPr>
        <w:pStyle w:val="Heading2"/>
      </w:pPr>
      <w:r w:rsidRPr="00636102">
        <w:t>Drug evidence watch: a process to the benefit of public health</w:t>
      </w:r>
    </w:p>
    <w:p w14:paraId="19A087B7" w14:textId="4659770C" w:rsidR="001F0DA1" w:rsidRDefault="002241E7" w:rsidP="001F0DA1">
      <w:r w:rsidRPr="002241E7">
        <w:t xml:space="preserve">Medicines regulators, such as the UK MHRA and the European Medicines Agency, have statutory duties to ensure the safety, quality and efficacy of medicines, medical devices, and blood products. To do this, and to safeguard the health of the population, drug regulators are alert to safety signals for licensed medicines. </w:t>
      </w:r>
      <w:r w:rsidR="001F0DA1">
        <w:t>Pharmacovigilance systems monitor and act on new data as it emerges</w:t>
      </w:r>
      <w:r w:rsidR="00C9147D">
        <w:t xml:space="preserve">, </w:t>
      </w:r>
      <w:r w:rsidR="001F0DA1">
        <w:t>regardless of</w:t>
      </w:r>
      <w:r w:rsidR="00A77FF8">
        <w:t xml:space="preserve"> data</w:t>
      </w:r>
      <w:r w:rsidR="001F0DA1">
        <w:t xml:space="preserve"> </w:t>
      </w:r>
      <w:r w:rsidR="00D12503">
        <w:t>provenance</w:t>
      </w:r>
      <w:r w:rsidR="001F0DA1">
        <w:t xml:space="preserve"> (whether from company-sponsored stud</w:t>
      </w:r>
      <w:r w:rsidR="00C9147D">
        <w:t>ies</w:t>
      </w:r>
      <w:r w:rsidR="001F0DA1">
        <w:t xml:space="preserve"> or from non-company sources)</w:t>
      </w:r>
      <w:r w:rsidR="00F93ACE">
        <w:t xml:space="preserve"> </w:t>
      </w:r>
      <w:r w:rsidR="00F93ACE">
        <w:fldChar w:fldCharType="begin"/>
      </w:r>
      <w:r w:rsidR="00B461E8">
        <w:instrText xml:space="preserve"> ADDIN ZOTERO_ITEM CSL_CITATION {"citationID":"U2KJd69N","properties":{"formattedCitation":"\\super 1\\nosupersub{}","plainCitation":"1","noteIndex":0},"citationItems":[{"id":23672,"uris":["http://zotero.org/users/10182210/items/K7PBVCPI"],"itemData":{"id":23672,"type":"article-journal","language":"en","page":"144","source":"Zotero","title":"Guideline on good pharmacovigilance practices (GVP) - Module VI – Collection, management and submission of reports of suspected adverse reactions to medicinal products (Rev 2)"}}],"schema":"https://github.com/citation-style-language/schema/raw/master/csl-citation.json"} </w:instrText>
      </w:r>
      <w:r w:rsidR="00F93ACE">
        <w:fldChar w:fldCharType="separate"/>
      </w:r>
      <w:r w:rsidR="00B461E8" w:rsidRPr="00B461E8">
        <w:rPr>
          <w:rFonts w:ascii="Calibri" w:hAnsi="Calibri" w:cs="Calibri"/>
          <w:szCs w:val="24"/>
          <w:vertAlign w:val="superscript"/>
        </w:rPr>
        <w:t>1</w:t>
      </w:r>
      <w:r w:rsidR="00F93ACE">
        <w:fldChar w:fldCharType="end"/>
      </w:r>
      <w:r w:rsidR="001F0DA1">
        <w:t xml:space="preserve">. However, this effective monitoring process does not capture data showing efficacy in new medical uses for existing medicines. We propose that regulators institute a ‘drug evidence watch’ process to track emerging data showing efficacy of </w:t>
      </w:r>
      <w:r w:rsidR="00E6597C">
        <w:t>drugs</w:t>
      </w:r>
      <w:r w:rsidR="001F0DA1">
        <w:t xml:space="preserve"> in new indications. Where pharmacovigilance can lead to label changes, we suggest that the </w:t>
      </w:r>
      <w:r w:rsidR="00170118">
        <w:t>drug evidence watch</w:t>
      </w:r>
      <w:r w:rsidR="001F0DA1">
        <w:t xml:space="preserve"> includes a form of ‘efficacy vigilance’ that could lead to label extension.</w:t>
      </w:r>
    </w:p>
    <w:p w14:paraId="4B24B2E1" w14:textId="5F12AF9F" w:rsidR="001F0DA1" w:rsidRDefault="00013483" w:rsidP="001F0DA1">
      <w:r>
        <w:t>Currently, the monitoring of efficacy data for new indications of a licensed drug is fully dependent on the drug companies</w:t>
      </w:r>
      <w:r w:rsidR="001F0DA1">
        <w:t>. This situation creates two major issues when data supporting a new indication are developed by other actors. First, because only a marketing authorisation holder (MAH) can file for label extension (a form of type II variation), this requires the transfer of data from non-company studies to companies</w:t>
      </w:r>
      <w:r w:rsidR="00340522">
        <w:t>, for example</w:t>
      </w:r>
      <w:r w:rsidR="006300BF">
        <w:t xml:space="preserve"> adult </w:t>
      </w:r>
      <w:r w:rsidR="006300BF" w:rsidRPr="006300BF">
        <w:t>pemphigus vulgaris</w:t>
      </w:r>
      <w:r w:rsidR="006300BF">
        <w:t xml:space="preserve"> was added to the label for</w:t>
      </w:r>
      <w:r w:rsidR="00914FAC">
        <w:t xml:space="preserve"> rituximab after the transfer of clinical trial data from the academic sponsor to the MAH </w:t>
      </w:r>
      <w:r w:rsidR="00FC6BC5">
        <w:fldChar w:fldCharType="begin"/>
      </w:r>
      <w:r w:rsidR="00FC6BC5">
        <w:instrText xml:space="preserve"> ADDIN ZOTERO_ITEM CSL_CITATION {"citationID":"oSCakLLF","properties":{"formattedCitation":"\\super 2\\nosupersub{}","plainCitation":"2","noteIndex":0},"citationItems":[{"id":70712,"uris":["http://zotero.org/groups/4945213/items/RMNTXL8M"],"itemData":{"id":70712,"type":"webpage","title":"European Medicines Agency,. MabThera Assessment Report. (2019)","URL":"https://www.ema.europa.eu/en/documents/variation-report/mabthera-h-c-165-ii-150-epar-assessment-report-variation_en.pdf","accessed":{"date-parts":[["2023",3,15]]}}}],"schema":"https://github.com/citation-style-language/schema/raw/master/csl-citation.json"} </w:instrText>
      </w:r>
      <w:r w:rsidR="00FC6BC5">
        <w:fldChar w:fldCharType="separate"/>
      </w:r>
      <w:r w:rsidR="00FC6BC5" w:rsidRPr="00FC6BC5">
        <w:rPr>
          <w:rFonts w:ascii="Calibri" w:hAnsi="Calibri" w:cs="Calibri"/>
          <w:szCs w:val="24"/>
          <w:vertAlign w:val="superscript"/>
        </w:rPr>
        <w:t>2</w:t>
      </w:r>
      <w:r w:rsidR="00FC6BC5">
        <w:fldChar w:fldCharType="end"/>
      </w:r>
      <w:r w:rsidR="001F0DA1">
        <w:t xml:space="preserve">. Although companies </w:t>
      </w:r>
      <w:r w:rsidR="00C9147D">
        <w:t>may</w:t>
      </w:r>
      <w:r w:rsidR="001F0DA1">
        <w:t xml:space="preserve"> not have been involved in how these data were generated, they </w:t>
      </w:r>
      <w:r w:rsidR="00E6597C">
        <w:t>must</w:t>
      </w:r>
      <w:r w:rsidR="001F0DA1">
        <w:t xml:space="preserve"> take full responsibility for them – a risky situation from </w:t>
      </w:r>
      <w:r w:rsidR="00D12503">
        <w:t>their</w:t>
      </w:r>
      <w:r w:rsidR="001F0DA1">
        <w:t xml:space="preserve"> perspective. Second, assuming the </w:t>
      </w:r>
      <w:r w:rsidR="00C853B6">
        <w:t xml:space="preserve">successful </w:t>
      </w:r>
      <w:r w:rsidR="001F0DA1">
        <w:t>transfer of data, the company will also need to decide whether submitting a type II variation is financially sound and consonant with their commercial strategy.</w:t>
      </w:r>
      <w:r w:rsidR="00743C14">
        <w:t xml:space="preserve"> </w:t>
      </w:r>
      <w:r w:rsidR="001F0DA1">
        <w:t xml:space="preserve">These decisions are mainly based on the </w:t>
      </w:r>
      <w:r w:rsidR="00D12503">
        <w:t xml:space="preserve">projected </w:t>
      </w:r>
      <w:r w:rsidR="001F0DA1">
        <w:t xml:space="preserve">revenue </w:t>
      </w:r>
      <w:r w:rsidR="00D12503">
        <w:t xml:space="preserve">for </w:t>
      </w:r>
      <w:r w:rsidR="001F0DA1">
        <w:t>the new indication</w:t>
      </w:r>
      <w:r w:rsidR="00D12503">
        <w:t xml:space="preserve"> versus</w:t>
      </w:r>
      <w:r w:rsidR="001F0DA1">
        <w:t xml:space="preserve"> the costs associated with </w:t>
      </w:r>
      <w:r w:rsidR="00BE4D2F">
        <w:t>the</w:t>
      </w:r>
      <w:r w:rsidR="001F0DA1">
        <w:t xml:space="preserve"> type II variation</w:t>
      </w:r>
      <w:r w:rsidR="000B5595">
        <w:t xml:space="preserve"> </w:t>
      </w:r>
      <w:r w:rsidR="000B5595">
        <w:fldChar w:fldCharType="begin"/>
      </w:r>
      <w:r w:rsidR="000B5595">
        <w:instrText xml:space="preserve"> ADDIN ZOTERO_ITEM CSL_CITATION {"citationID":"gUXC2ELk","properties":{"formattedCitation":"\\super 3\\nosupersub{}","plainCitation":"3","noteIndex":0},"citationItems":[{"id":32523,"uris":["http://zotero.org/groups/4945213/items/DYMU8MS8"],"itemData":{"id":32523,"type":"article-journal","abstract":"The repositioning or ‘repurposing’ of existing therapies for alternative disease indications is an attractive approach that can save significant investments of time and money during drug development. For cancer indications, the primary goal of repurposed therapies is on efficacy, with less restrictions on safety due to the immediate need to treat this patient population. This report provides a high-level overview of how drug developers pursuing repurposed assets have previously navigated funding efforts, regulatory affairs, and intellectual property laws to commercialize these ‘new’ medicines in oncology. This article provides insight into funding programs (e.g. government grants, philanthropic organizations) that academic and corporate initiatives can leverage to repurpose drugs for cancer. In addition, we highlight previous examples where secondary uses of existing, FDA- or EMA-approved therapies have been predicted in silico and successfully validated in vitro and/or in vivo (i.e. animal models and human clinical trials) for certain oncology indications. Lastly, we describe the strategies that the pharmaceutical industry has previously employed to navigate regulatory considerations and successfully commercialize their drug products. These factors must be carefully considered when repurposing existing drugs for cancer to best benefit patients and drug developers alike.","container-title":"Frontiers in Oncology","DOI":"10.3389/fonc.2017.00273","ISSN":"2234-943X","note":"PMID: 29184849\nCitation Key: Hernandez2017","page":"273","title":"Giving Drugs a Second Chance: Overcoming Regulatory and Financial Hurdles in Repurposing Approved Drugs as Cancer Therapeutics","volume":"7","author":[{"family":"Hernandez","given":"J. Javier"},{"family":"Pryszlak","given":"Michael"},{"family":"Smith","given":"Lindsay"},{"family":"Yanchus","given":"Connor"},{"family":"Kurji","given":"Naheed"},{"family":"Shahani","given":"Vijay M."},{"family":"Molinski","given":"Steven V."}],"issued":{"date-parts":[["2017"]]}}}],"schema":"https://github.com/citation-style-language/schema/raw/master/csl-citation.json"} </w:instrText>
      </w:r>
      <w:r w:rsidR="000B5595">
        <w:fldChar w:fldCharType="separate"/>
      </w:r>
      <w:r w:rsidR="000B5595" w:rsidRPr="000B5595">
        <w:rPr>
          <w:rFonts w:ascii="Calibri" w:hAnsi="Calibri" w:cs="Calibri"/>
          <w:szCs w:val="24"/>
          <w:vertAlign w:val="superscript"/>
        </w:rPr>
        <w:t>3</w:t>
      </w:r>
      <w:r w:rsidR="000B5595">
        <w:fldChar w:fldCharType="end"/>
      </w:r>
      <w:r w:rsidR="001F0DA1">
        <w:t>. The costs are related to the filing of the application</w:t>
      </w:r>
      <w:r w:rsidR="00254675">
        <w:t xml:space="preserve"> (</w:t>
      </w:r>
      <w:r w:rsidR="00007F55">
        <w:t xml:space="preserve">e.g. </w:t>
      </w:r>
      <w:r w:rsidR="00A647FC" w:rsidRPr="00A647FC">
        <w:t>€</w:t>
      </w:r>
      <w:r w:rsidR="00872F07">
        <w:t>94k</w:t>
      </w:r>
      <w:r w:rsidR="00136080">
        <w:t xml:space="preserve"> for the application to EMA)</w:t>
      </w:r>
      <w:r w:rsidR="002E1E0E">
        <w:t xml:space="preserve"> and</w:t>
      </w:r>
      <w:r w:rsidR="00136080">
        <w:t xml:space="preserve"> the </w:t>
      </w:r>
      <w:r w:rsidR="002E1E0E">
        <w:t xml:space="preserve">workload to </w:t>
      </w:r>
      <w:r w:rsidR="00136080">
        <w:t>generat</w:t>
      </w:r>
      <w:r w:rsidR="002E1E0E">
        <w:t>e</w:t>
      </w:r>
      <w:r w:rsidR="00136080">
        <w:t xml:space="preserve"> the </w:t>
      </w:r>
      <w:r w:rsidR="000232A9">
        <w:t>application dossier,</w:t>
      </w:r>
      <w:r w:rsidR="001F0DA1">
        <w:t xml:space="preserve"> to the potential request by regulators to generate additional evidence, and to additional </w:t>
      </w:r>
      <w:r w:rsidR="009F026E">
        <w:t xml:space="preserve">company </w:t>
      </w:r>
      <w:r w:rsidR="001F0DA1">
        <w:t>workload if the extension of indication is granted.</w:t>
      </w:r>
    </w:p>
    <w:p w14:paraId="4B151FB2" w14:textId="2F4B1410" w:rsidR="001F0DA1" w:rsidRDefault="001F0DA1" w:rsidP="001F0DA1">
      <w:r>
        <w:t>The projected revenue</w:t>
      </w:r>
      <w:r w:rsidR="001E68D1">
        <w:t xml:space="preserve"> for new indications</w:t>
      </w:r>
      <w:r>
        <w:t xml:space="preserve"> incorporates data on two key parameters: </w:t>
      </w:r>
      <w:r w:rsidR="00D12503">
        <w:t xml:space="preserve">disease </w:t>
      </w:r>
      <w:r>
        <w:t xml:space="preserve">prevalence and remaining patent life. Rare diseases and off-patent drugs are therefore negatively </w:t>
      </w:r>
      <w:r>
        <w:lastRenderedPageBreak/>
        <w:t>affected by the low</w:t>
      </w:r>
      <w:r w:rsidR="001934C5">
        <w:t>,</w:t>
      </w:r>
      <w:r>
        <w:t xml:space="preserve"> or very low</w:t>
      </w:r>
      <w:r w:rsidR="001934C5">
        <w:t>,</w:t>
      </w:r>
      <w:r>
        <w:t xml:space="preserve"> projected revenue. In a welcome attempt to correct for this bias in the context of an emergency, EMA announced in September 2020 (3 months after the results of the RECOVERY dexamethasone arm) that it was endorsing the use of dexamethasone in COVID19 patients on oxygen or mechanical ventilation, though EMA could not do anything to change the label</w:t>
      </w:r>
      <w:r w:rsidR="00B461E8">
        <w:t xml:space="preserve"> </w:t>
      </w:r>
      <w:r w:rsidR="00B461E8">
        <w:fldChar w:fldCharType="begin"/>
      </w:r>
      <w:r w:rsidR="000B5595">
        <w:instrText xml:space="preserve"> ADDIN ZOTERO_ITEM CSL_CITATION {"citationID":"jaPNPkdI","properties":{"formattedCitation":"\\super 4\\nosupersub{}","plainCitation":"4","noteIndex":0},"citationItems":[{"id":23655,"uris":["http://zotero.org/users/10182210/items/V38YLFNJ"],"itemData":{"id":23655,"type":"webpage","abstract":"EMA endorses use of dexamethasone in COVID-19 patients on oxygen or mechanical ventilation","container-title":"European Medicines Agency","genre":"Text","language":"en","title":"EMA endorses use of dexamethasone in COVID-19 patients on oxygen or mechanical ventilation","URL":"https://www.ema.europa.eu/en/news/ema-endorses-use-dexamethasone-covid-19-patients-oxygen-mechanical-ventilation","author":[{"family":"EMA","given":""}],"accessed":{"date-parts":[["2022",12,6]]},"issued":{"date-parts":[["2020",9,18]]}}}],"schema":"https://github.com/citation-style-language/schema/raw/master/csl-citation.json"} </w:instrText>
      </w:r>
      <w:r w:rsidR="00B461E8">
        <w:fldChar w:fldCharType="separate"/>
      </w:r>
      <w:r w:rsidR="000B5595" w:rsidRPr="000B5595">
        <w:rPr>
          <w:rFonts w:ascii="Calibri" w:hAnsi="Calibri" w:cs="Calibri"/>
          <w:szCs w:val="24"/>
          <w:vertAlign w:val="superscript"/>
        </w:rPr>
        <w:t>4</w:t>
      </w:r>
      <w:r w:rsidR="00B461E8">
        <w:fldChar w:fldCharType="end"/>
      </w:r>
      <w:r>
        <w:t>. In the UK, the MHRA had invited MAHs for dexamethasone to apply for type II variation.</w:t>
      </w:r>
    </w:p>
    <w:p w14:paraId="015CBC9C" w14:textId="00216E5B" w:rsidR="001F0DA1" w:rsidRDefault="001F0DA1" w:rsidP="001F0DA1">
      <w:r>
        <w:t>There are instances where new indications for off-patent drugs</w:t>
      </w:r>
      <w:r w:rsidR="00DB71E6">
        <w:t xml:space="preserve"> do</w:t>
      </w:r>
      <w:r>
        <w:t xml:space="preserve"> end up on label, but this is patchy and unpredictable. For example, acute idiopathic pericarditis is on</w:t>
      </w:r>
      <w:r w:rsidR="00D12503">
        <w:t>-</w:t>
      </w:r>
      <w:r>
        <w:t xml:space="preserve">label </w:t>
      </w:r>
      <w:r w:rsidR="00D12503">
        <w:t>for</w:t>
      </w:r>
      <w:r>
        <w:t xml:space="preserve"> colchicine in France but not the UK</w:t>
      </w:r>
      <w:r w:rsidR="00D12503">
        <w:t>,</w:t>
      </w:r>
      <w:r>
        <w:t xml:space="preserve"> and </w:t>
      </w:r>
      <w:bookmarkStart w:id="0" w:name="_Hlk129766504"/>
      <w:r>
        <w:t>bleeding trauma is on the label of tranexamic acid in Pakistan but nowhere else</w:t>
      </w:r>
      <w:bookmarkEnd w:id="0"/>
      <w:r w:rsidR="00A20B29">
        <w:t xml:space="preserve">, (in the UK it </w:t>
      </w:r>
      <w:r w:rsidR="00113BEE">
        <w:t xml:space="preserve">used off-label following a </w:t>
      </w:r>
      <w:r w:rsidR="0055260B">
        <w:t xml:space="preserve">NICE </w:t>
      </w:r>
      <w:r w:rsidR="0055260B" w:rsidRPr="0055260B">
        <w:t>evidence summar</w:t>
      </w:r>
      <w:r w:rsidR="0055260B">
        <w:t>y</w:t>
      </w:r>
      <w:r w:rsidR="0055260B" w:rsidRPr="0055260B">
        <w:t xml:space="preserve"> for the use of unlicensed and off-label medicines</w:t>
      </w:r>
      <w:r w:rsidR="0055260B">
        <w:t>)</w:t>
      </w:r>
      <w:r>
        <w:t xml:space="preserve">. For dexamethasone and COVID19, EMA’s statement might have been instrumental in adding COVID19 on the label of some </w:t>
      </w:r>
      <w:r w:rsidR="00591503">
        <w:t>of</w:t>
      </w:r>
      <w:r>
        <w:t xml:space="preserve"> the dexamethasone products available. In the UK, 14 of 26 </w:t>
      </w:r>
      <w:r w:rsidR="00D12503">
        <w:t xml:space="preserve">eligible </w:t>
      </w:r>
      <w:r>
        <w:t xml:space="preserve">dexamethasone products </w:t>
      </w:r>
      <w:r w:rsidR="00D12503">
        <w:t>had labels</w:t>
      </w:r>
      <w:r>
        <w:t xml:space="preserve"> updated to include COVID19. In the cases of colchicine, tranexamic acid and dexamethasone, evidence comes from well-conducted academic randomised controlled trials</w:t>
      </w:r>
      <w:r w:rsidR="00FD2D95">
        <w:t xml:space="preserve">  </w:t>
      </w:r>
      <w:r w:rsidR="00FD2D95">
        <w:fldChar w:fldCharType="begin"/>
      </w:r>
      <w:r w:rsidR="000B5595">
        <w:instrText xml:space="preserve"> ADDIN ZOTERO_ITEM CSL_CITATION {"citationID":"AJPn9Syg","properties":{"formattedCitation":"\\super 5\\uc0\\u8211{}7\\nosupersub{}","plainCitation":"5–7","noteIndex":0},"citationItems":[{"id":23665,"uris":["http://zotero.org/users/10182210/items/XC3JTPSA"],"itemData":{"id":23665,"type":"article-journal","abstract":"BACKGROUND: The aim of the CRASH-2 trial was to assess the effects of early administration of tranexamic acid on death, vascular occlusive events, and blood transfusion in trauma patients with significant haemorrhage. Tranexamic acid significantly reduced all-cause mortality. Because tranexamic acid is thought to exert its effect through inhibition of fibrinolysis, we undertook exploratory analyses of its effect on death due to bleeding.\nMETHODS: The CRASH-2 trial was undertaken in 274 hospitals in 40 countries. 20,211 adult trauma patients with, or at risk of, significant bleeding were randomly assigned within 8 h of injury to either tranexamic acid (loading dose 1 g over 10 min followed by infusion of 1 g over 8 h) or placebo. Patients were randomly assigned by selection of the lowest numbered treatment pack from a box containing eight numbered packs that were identical apart from the pack number. Both participants and study staff (site investigators and trial coordinating centre staff ) were masked to treatment allocation. We examined the effect of tranexamic acid on death due to bleeding according to time to treatment, severity of haemorrhage as assessed by systolic blood pressure, Glasgow coma score (GCS), and type of injury. All analyses were by intention to treat. The trial is registered as ISRCTN86750102, ClinicalTrials.gov NCT00375258, and South African Clinical Trial Register/Department of Health DOH-27-0607-1919.\nFINDINGS: 10,096 patients were allocated to tranexamic acid and 10,115 to placebo, of whom 10,060 and 10,067, respectively, were analysed. 1063 deaths (35%) were due to bleeding. We recorded strong evidence that the effect of tranexamic acid on death due to bleeding varied according to the time from injury to treatment (test for interaction p&lt;0.0001). Early treatment (≤1 h from injury) significantly reduced the risk of death due to bleeding (198/3747 [5.3%] events in tranexamic acid group vs 286/3704 [7.7%] in placebo group; relative risk [RR] 0.68, 95% CI 0.57-0.82; p&lt;0.0001). Treatment given between 1 and 3 h also reduced the risk of death due to bleeding (147/3037 [4.8%] vs 184/2996 [6.1%]; RR 0.79, 0.64-0.97; p=0.03). Treatment given after 3 h seemed to increase the risk of death due to bleeding (144/3272 [4.4%] vs 103/3362 [3.1%]; RR 1.44, 1.12-1.84; p=0.004). We recorded no evidence that the effect of tranexamic acid on death due to bleeding varied by systolic blood pressure, Glasgow coma score, or type of injury.\nINTERPRETATION: Tranexamic acid should be given as early as possible to bleeding trauma patients. For trauma patients admitted late after injury, tranexamic acid is less effective and could be harmful.\nFUNDING: UK NIHR Health Technology Assessment programme, Pfizer, BUPA Foundation, and J P Moulton Charitable Foundation.","container-title":"Lancet (London, England)","DOI":"10.1016/S0140-6736(11)60278-X","ISSN":"1474-547X","issue":"9771","journalAbbreviation":"Lancet","language":"eng","note":"PMID: 21439633","page":"1096-1101, 1101.e1-2","source":"PubMed","title":"The importance of early treatment with tranexamic acid in bleeding trauma patients: an exploratory analysis of the CRASH-2 randomised controlled trial","title-short":"The importance of early treatment with tranexamic acid in bleeding trauma patients","volume":"377","author":[{"literal":"CRASH-2 collaborators"},{"family":"Roberts","given":"Ian"},{"family":"Shakur","given":"Haleema"},{"family":"Afolabi","given":"Adefemi"},{"family":"Brohi","given":"Karim"},{"family":"Coats","given":"Tim"},{"family":"Dewan","given":"Yashbir"},{"family":"Gando","given":"Satoshi"},{"family":"Guyatt","given":"Gordon"},{"family":"Hunt","given":"B. J."},{"family":"Morales","given":"Carlos"},{"family":"Perel","given":"Pablo"},{"family":"Prieto-Merino","given":"David"},{"family":"Woolley","given":"Tom"}],"issued":{"date-parts":[["2011",3,26]]}}},{"id":23657,"uris":["http://zotero.org/users/10182210/items/67ZDFH7U"],"itemData":{"id":23657,"type":"article-journal","container-title":"European Heart Journal","DOI":"10.1093/eurheartj/ehv318","ISSN":"1522-9645","issue":"42","journalAbbreviation":"Eur Heart J","language":"eng","note":"PMID: 26320112\nPMCID: PMC7539677","page":"2921-2964","source":"PubMed","title":"2015 ESC Guidelines for the diagnosis and management of pericardial diseases: The Task Force for the Diagnosis and Management of Pericardial Diseases of the European Society of Cardiology (ESC)Endorsed by: The European Association for Cardio-Thoracic Surgery (EACTS)","title-short":"2015 ESC Guidelines for the diagnosis and management of pericardial diseases","volume":"36","author":[{"family":"Adler","given":"Yehuda"},{"family":"Charron","given":"Philippe"},{"family":"Imazio","given":"Massimo"},{"family":"Badano","given":"Luigi"},{"family":"Barón-Esquivias","given":"Gonzalo"},{"family":"Bogaert","given":"Jan"},{"family":"Brucato","given":"Antonio"},{"family":"Gueret","given":"Pascal"},{"family":"Klingel","given":"Karin"},{"family":"Lionis","given":"Christos"},{"family":"Maisch","given":"Bernhard"},{"family":"Mayosi","given":"Bongani"},{"family":"Pavie","given":"Alain"},{"family":"Ristic","given":"Arsen D."},{"family":"Sabaté Tenas","given":"Manel"},{"family":"Seferovic","given":"Petar"},{"family":"Swedberg","given":"Karl"},{"family":"Tomkowski","given":"Witold"},{"literal":"ESC Scientific Document Group"}],"issued":{"date-parts":[["2015",11,7]]}}},{"id":23661,"uris":["http://zotero.org/users/10182210/items/KKWA8M7T"],"itemData":{"id":23661,"type":"article-journal","abstract":"BACKGROUND: Coronavirus disease 2019 (Covid-19) is associated with diffuse lung damage. Glucocorticoids may modulate inflammation-mediated lung injury and thereby reduce progression to respiratory failure and death.\nMETHODS: In this controlled, open-label trial comparing a range of possible treatments in patients who were hospitalized with Covid-19, we randomly assigned patients to receive oral or intravenous dexamethasone (at a dose of 6 mg once daily) for up to 10 days or to receive usual care alone. The primary outcome was 28-day mortality. Here, we report the final results of this assessment.\nRESULTS: A total of 2104 patients were assigned to receive dexamethasone and 4321 to receive usual care. Overall, 482 patients (22.9%) in the dexamethasone group and 1110 patients (25.7%) in the usual care group died within 28 days after randomization (age-adjusted rate ratio, 0.83; 95% confidence interval [CI], 0.75 to 0.93; P&lt;0.001). The proportional and absolute between-group differences in mortality varied considerably according to the level of respiratory support that the patients were receiving at the time of randomization. In the dexamethasone group, the incidence of death was lower than that in the usual care group among patients receiving invasive mechanical ventilation (29.3% vs. 41.4%; rate ratio, 0.64; 95% CI, 0.51 to 0.81) and among those receiving oxygen without invasive mechanical ventilation (23.3% vs. 26.2%; rate ratio, 0.82; 95% CI, 0.72 to 0.94) but not among those who were receiving no respiratory support at randomization (17.8% vs. 14.0%; rate ratio, 1.19; 95% CI, 0.92 to 1.55).\nCONCLUSIONS: In patients hospitalized with Covid-19, the use of dexamethasone resulted in lower 28-day mortality among those who were receiving either invasive mechanical ventilation or oxygen alone at randomization but not among those receiving no respiratory support. (Funded by the Medical Research Council and National Institute for Health Research and others; RECOVERY ClinicalTrials.gov number, NCT04381936; ISRCTN number, 50189673.).","container-title":"The New England Journal of Medicine","DOI":"10.1056/NEJMoa2021436","ISSN":"1533-4406","issue":"8","journalAbbreviation":"N Engl J Med","language":"eng","note":"PMID: 32678530\nPMCID: PMC7383595","page":"693-704","source":"PubMed","title":"Dexamethasone in Hospitalized Patients with Covid-19","volume":"384","author":[{"literal":"RECOVERY Collaborative Group"},{"family":"Horby","given":"Peter"},{"family":"Lim","given":"Wei Shen"},{"family":"Emberson","given":"Jonathan R."},{"family":"Mafham","given":"Marion"},{"family":"Bell","given":"Jennifer L."},{"family":"Linsell","given":"Louise"},{"family":"Staplin","given":"Natalie"},{"family":"Brightling","given":"Christopher"},{"family":"Ustianowski","given":"Andrew"},{"family":"Elmahi","given":"Einas"},{"family":"Prudon","given":"Benjamin"},{"family":"Green","given":"Christopher"},{"family":"Felton","given":"Timothy"},{"family":"Chadwick","given":"David"},{"family":"Rege","given":"Kanchan"},{"family":"Fegan","given":"Christopher"},{"family":"Chappell","given":"Lucy C."},{"family":"Faust","given":"Saul N."},{"family":"Jaki","given":"Thomas"},{"family":"Jeffery","given":"Katie"},{"family":"Montgomery","given":"Alan"},{"family":"Rowan","given":"Kathryn"},{"family":"Juszczak","given":"Edmund"},{"family":"Baillie","given":"J. Kenneth"},{"family":"Haynes","given":"Richard"},{"family":"Landray","given":"Martin J."}],"issued":{"date-parts":[["2021",2,25]]}},"locator":"-19"}],"schema":"https://github.com/citation-style-language/schema/raw/master/csl-citation.json"} </w:instrText>
      </w:r>
      <w:r w:rsidR="00FD2D95">
        <w:fldChar w:fldCharType="separate"/>
      </w:r>
      <w:r w:rsidR="000B5595" w:rsidRPr="000B5595">
        <w:rPr>
          <w:rFonts w:ascii="Calibri" w:hAnsi="Calibri" w:cs="Calibri"/>
          <w:szCs w:val="24"/>
          <w:vertAlign w:val="superscript"/>
        </w:rPr>
        <w:t>5–7</w:t>
      </w:r>
      <w:r w:rsidR="00FD2D95">
        <w:fldChar w:fldCharType="end"/>
      </w:r>
      <w:r>
        <w:t>.</w:t>
      </w:r>
    </w:p>
    <w:p w14:paraId="1D287038" w14:textId="29911EF5" w:rsidR="00980A89" w:rsidRDefault="001F0DA1" w:rsidP="001F0DA1">
      <w:r>
        <w:t xml:space="preserve">We believe that a regulatory pathway to label extension </w:t>
      </w:r>
      <w:r w:rsidR="00F35479">
        <w:t>for</w:t>
      </w:r>
      <w:r>
        <w:t xml:space="preserve"> off-patent drugs</w:t>
      </w:r>
      <w:r w:rsidR="001E68D1">
        <w:t>, at the EMA and MHRA,</w:t>
      </w:r>
      <w:r>
        <w:t xml:space="preserve"> should be explicitly outlined so that it can be applied when new </w:t>
      </w:r>
      <w:r w:rsidR="00D12503">
        <w:t xml:space="preserve">efficacy </w:t>
      </w:r>
      <w:r>
        <w:t xml:space="preserve">evidence emerges. </w:t>
      </w:r>
      <w:r w:rsidR="0029606D">
        <w:t>Detailed g</w:t>
      </w:r>
      <w:r w:rsidR="00D12503">
        <w:t>uidance</w:t>
      </w:r>
      <w:r>
        <w:t xml:space="preserve"> document</w:t>
      </w:r>
      <w:r w:rsidR="00D12503">
        <w:t>s,</w:t>
      </w:r>
      <w:r>
        <w:t xml:space="preserve"> including the level of evidence</w:t>
      </w:r>
      <w:r w:rsidR="00524C85">
        <w:t xml:space="preserve"> </w:t>
      </w:r>
      <w:r>
        <w:t xml:space="preserve">and type of </w:t>
      </w:r>
      <w:r w:rsidR="00CE1DCF">
        <w:t>data needed</w:t>
      </w:r>
      <w:r>
        <w:t xml:space="preserve"> to submit</w:t>
      </w:r>
      <w:r w:rsidR="00D12503">
        <w:t>,</w:t>
      </w:r>
      <w:r>
        <w:t xml:space="preserve"> would frame the process. </w:t>
      </w:r>
      <w:r w:rsidR="00873594">
        <w:t xml:space="preserve">Level of evidence could include guidance on the type of trial </w:t>
      </w:r>
      <w:r w:rsidR="00980A89">
        <w:t xml:space="preserve">and the most appropriate end-points required in the new indication, it may also clarify the use of case series or registries in ultra-rare diseases for example. Types of data required may indicate situations in which new safety data is </w:t>
      </w:r>
      <w:r w:rsidR="00D931CD">
        <w:t>warranted</w:t>
      </w:r>
      <w:r w:rsidR="00980A89">
        <w:t xml:space="preserve"> or cover the use of animal model data </w:t>
      </w:r>
      <w:r w:rsidR="00D931CD">
        <w:t>for the drug in the</w:t>
      </w:r>
      <w:r w:rsidR="00980A89">
        <w:t xml:space="preserve"> new indication. </w:t>
      </w:r>
    </w:p>
    <w:p w14:paraId="1FB8985C" w14:textId="765E5D26" w:rsidR="001F0DA1" w:rsidRDefault="001F0DA1" w:rsidP="001F0DA1">
      <w:r>
        <w:t xml:space="preserve">This would effectively be a public-interest label extension </w:t>
      </w:r>
      <w:r w:rsidR="00D12503">
        <w:t>pathway</w:t>
      </w:r>
      <w:r>
        <w:t xml:space="preserve">. The aim would be to create the conditions whereby a MAH would find it conducive to apply for a type II variation for an extension of indication. For example, the pathway may lead to preparatory work on producing evidence dossiers, collecting data, undergoing scientific advice, and generating fee-reductions for the </w:t>
      </w:r>
      <w:r w:rsidR="00D12503">
        <w:t xml:space="preserve">label extension </w:t>
      </w:r>
      <w:r>
        <w:t xml:space="preserve">application. </w:t>
      </w:r>
      <w:r w:rsidR="00D12503">
        <w:t>I</w:t>
      </w:r>
      <w:r>
        <w:t>t would make the process of applying for a label extension as efficient and as low-cost as possible for the MAH. Other forms of incentive could also be explored, for example tax breaks</w:t>
      </w:r>
      <w:r w:rsidR="00D12503">
        <w:t xml:space="preserve"> or</w:t>
      </w:r>
      <w:r>
        <w:t xml:space="preserve"> fee reductions for other regulator</w:t>
      </w:r>
      <w:r w:rsidR="00110892">
        <w:t>y</w:t>
      </w:r>
      <w:r>
        <w:t xml:space="preserve"> services.</w:t>
      </w:r>
    </w:p>
    <w:p w14:paraId="7EDAD466" w14:textId="1DE22B81" w:rsidR="005A66BC" w:rsidRDefault="005A66BC" w:rsidP="001F0DA1">
      <w:r>
        <w:t xml:space="preserve">Identifying new medical uses could be ‘outsourced’ to non-commercial third parties such as scientific/medical societies or collaborative groups. We hypothesize that, with a pathway in place, these third parties would endeavour to ensure that the trials they support and/or conduct lead to the greatest access and impact for patients. The EMA and MHRA would simply need to apply the processes they currently have in place for type II variations for extension of indication. </w:t>
      </w:r>
    </w:p>
    <w:p w14:paraId="46274950" w14:textId="2B7455B5" w:rsidR="001F0DA1" w:rsidRDefault="004B3509" w:rsidP="001F0DA1">
      <w:r>
        <w:t xml:space="preserve">While </w:t>
      </w:r>
      <w:r w:rsidR="001F0DA1">
        <w:t>off-label use of a medicine may be appropriate in some circumstances</w:t>
      </w:r>
      <w:r w:rsidR="00075CF1">
        <w:t xml:space="preserve"> </w:t>
      </w:r>
      <w:r w:rsidR="00075CF1">
        <w:fldChar w:fldCharType="begin"/>
      </w:r>
      <w:r w:rsidR="000B5595">
        <w:instrText xml:space="preserve"> ADDIN ZOTERO_ITEM CSL_CITATION {"citationID":"PIEx8Xq4","properties":{"formattedCitation":"\\super 8\\nosupersub{}","plainCitation":"8","noteIndex":0},"citationItems":[{"id":22795,"uris":["http://zotero.org/users/10182210/items/D9WLPESL"],"itemData":{"id":22795,"type":"article-journal","abstract":"BACKGROUND Off-label drug use is highly prevalent, but controversial and often discouraged assuming generally inferior medical effects associated with off-label use. METHODS We searched Medline, PubMed Health and the Cochrane Library up to May 2015 for systematic reviews including meta-analyses of randomized clinical trials (RCTs) comparing off-label and approved drugs head-to-head in any population and on any medical outcome. We combined the comparative effects in meta-analyses providing summary odds ratios (sOR) for each treatment comparison and outcome, and then calculated an overall summary of the sOR across all comparisons (ssOR). RESULTS We included 25 treatment comparisons with 153 RCTs and 24 592 patients. In six of 25 comparisons (24%), off-label drugs were significantly superior (five of 25) or inferior (one of 25) to approved treatments. There was substantial statistical heterogeneity across comparisons (I(2)=43%). Overall, off-label drugs were more favorable than approved treatments (ssOR 0.72; 95% CI=0.54-0.95). Analyses of patient-relevant outcomes were similar (statistical significant differences in 24% (six of 25); ssOR 0.74; 95% CI=0.56-0.98; I(2)=60%). Analyses of primary outcomes of the systematic reviews (n=22 comparisons) indicated less heterogeneity and no statistically significant difference overall (ssOR 0.85; 95% CI=0.67-1.06; I(2)=0%). CONCLUSIONS Approval status does not reliably indicate which drugs are more favorable in situations with clinical trial evidence comparing off-label with approved use. Drug effectiveness assessments without considering off-label use may provide incomplete information. To ensure that patients receive the best available care, funding, policy, reimbursement, and treatment decisions should be evidence based considering the entire spectrum of available therapeutic choices.","container-title":"Journal of clinical epidemiology","DOI":"10.1016/j.jclinepi.2017.11.006","ISSN":"1878-5921","note":"publisher: Elsevier Inc.\nPMID: 29146289","title":"Off-label treatments were not consistently better or worse than approved drug treatments in randomized trials.","URL":"http://linkinghub.elsevier.com/retrieve/pii/S0895435617304432 http://www.ncbi.nlm.nih.gov/pubmed/29146289","author":[{"family":"Ladanie","given":"Aviv"},{"family":"Ioannidis","given":"John P A"},{"family":"Stafford","given":"Randall S."},{"family":"Ewald","given":"Hannah"},{"family":"Bucher","given":"Heiner C."},{"family":"Hemkens","given":"Lars G."}],"issued":{"date-parts":[["2017",11]]}}}],"schema":"https://github.com/citation-style-language/schema/raw/master/csl-citation.json"} </w:instrText>
      </w:r>
      <w:r w:rsidR="00075CF1">
        <w:fldChar w:fldCharType="separate"/>
      </w:r>
      <w:r w:rsidR="000B5595" w:rsidRPr="000B5595">
        <w:rPr>
          <w:rFonts w:ascii="Calibri" w:hAnsi="Calibri" w:cs="Calibri"/>
          <w:szCs w:val="24"/>
          <w:vertAlign w:val="superscript"/>
        </w:rPr>
        <w:t>8</w:t>
      </w:r>
      <w:r w:rsidR="00075CF1">
        <w:fldChar w:fldCharType="end"/>
      </w:r>
      <w:r w:rsidR="001F0DA1">
        <w:t>, in general it has several drawbacks including liability issues, problems with reimbursement and lack of prospective data collection</w:t>
      </w:r>
      <w:r w:rsidR="00075CF1">
        <w:t xml:space="preserve"> </w:t>
      </w:r>
      <w:r w:rsidR="00075CF1">
        <w:fldChar w:fldCharType="begin"/>
      </w:r>
      <w:r w:rsidR="000B5595">
        <w:instrText xml:space="preserve"> ADDIN ZOTERO_ITEM CSL_CITATION {"citationID":"wV3frkaU","properties":{"formattedCitation":"\\super 9\\nosupersub{}","plainCitation":"9","noteIndex":0},"citationItems":[{"id":20238,"uris":["http://zotero.org/users/10182210/items/QFPK8Q3H"],"itemData":{"id":20238,"type":"article-journal","abstract":"Repurposing of medicines has gained a lot of interest from the research community in recent years as it could offer safe, timely, and affordable new treatment options for cancer patients with high unmet needs. Increasingly, questions arise on how new uses will be translated into clinical practice, especially in case of marketed medicinal products that are out of basic patent or regulatory protection. The aim of this study was to portray the regulatory framework relevant for making repurposed medicines available to cancer patients in Europe and propose specific policy recommendations to address the current regulatory and financial barriers. We outlined two routes relevant to the clinical adoption of a repurposed medicine. First, a new indication can be approved, and thus brought on-label, via the marketing authorization procedures established in European and national legislation. Such procedures initiate a detailed and independent assessment of the quality and the benefit-risk balance of a medicinal product in a specific indication, benefiting both prescribers and patients as it reassures them that the scientific evidence is robust. However, the process of marketing authorization for new therapeutic indications entails a high administrative burden and significant costs while the return-on-investment for the pharmaceutical industry is expected to be low or absent for medicines that are out of basic patent and regulatory protection. Moreover, most of the repurposing research is conducted by independent or academic researchers who do not have the expertise or resources to get involved in regulatory procedures. A second option is to prescribe a medicine off-label for the new indication, which is managed at the national level in Europe. While off-label use could provide timely access to treatments for patients with urgent medical needs, it also entails important safety, liability and financial risks for patients, physicians, and society at large. In view of that, we recommend finding solutions to facilitate bringing new uses on-label, for example by developing a collaborative framework between not-for-profit and academic organizations, pharmaceutical industry, health technology assessment bodies, payers, and regulators.","container-title":"Frontiers in pharmacology","DOI":"10.3389/fphar.2019.01664","ISSN":"1663-9812","issue":"January","note":"PMID: 32076405","page":"1664","title":"On-Label or Off-Label? Overcoming Regulatory and Financial Barriers to Bring Repurposed Medicines to Cancer Patients.","volume":"10","author":[{"family":"Verbaanderd","given":"Ciska"},{"family":"Rooman","given":"Ilse"},{"family":"Meheus","given":"Lydie"},{"family":"Huys","given":"Isabelle"}],"issued":{"date-parts":[["2019",1]]}}}],"schema":"https://github.com/citation-style-language/schema/raw/master/csl-citation.json"} </w:instrText>
      </w:r>
      <w:r w:rsidR="00075CF1">
        <w:fldChar w:fldCharType="separate"/>
      </w:r>
      <w:r w:rsidR="000B5595" w:rsidRPr="000B5595">
        <w:rPr>
          <w:rFonts w:ascii="Calibri" w:hAnsi="Calibri" w:cs="Calibri"/>
          <w:szCs w:val="24"/>
          <w:vertAlign w:val="superscript"/>
        </w:rPr>
        <w:t>9</w:t>
      </w:r>
      <w:r w:rsidR="00075CF1">
        <w:fldChar w:fldCharType="end"/>
      </w:r>
      <w:r w:rsidR="001F0DA1">
        <w:t>. There may also be supply issues when a drug is no longer used for its original indication.</w:t>
      </w:r>
      <w:r>
        <w:t xml:space="preserve"> </w:t>
      </w:r>
      <w:r w:rsidR="001F0DA1">
        <w:t xml:space="preserve">A </w:t>
      </w:r>
      <w:r w:rsidR="00C04BCF">
        <w:t>drug evidence watch</w:t>
      </w:r>
      <w:r w:rsidR="001F0DA1">
        <w:t xml:space="preserve"> process that inc</w:t>
      </w:r>
      <w:r w:rsidR="00C04BCF">
        <w:t>orporates</w:t>
      </w:r>
      <w:r w:rsidR="001F0DA1">
        <w:t xml:space="preserve"> label extension would address these issues. This would result in improving access to new and efficacious treatments and may also lead to health system savings as many of the drugs are</w:t>
      </w:r>
      <w:r w:rsidR="00A30C58">
        <w:t xml:space="preserve"> </w:t>
      </w:r>
      <w:r w:rsidR="001F0DA1">
        <w:t>available at low cost. In the long-term, it will greatly lessen the problem of off-label use, which is unintentionally exacerbated by the current regulation.</w:t>
      </w:r>
    </w:p>
    <w:p w14:paraId="75CB6FF5" w14:textId="179AF264" w:rsidR="001F0DA1" w:rsidRDefault="001F0DA1" w:rsidP="001F0DA1">
      <w:r>
        <w:lastRenderedPageBreak/>
        <w:t xml:space="preserve">While several examples </w:t>
      </w:r>
      <w:r w:rsidR="00737567">
        <w:t>currently</w:t>
      </w:r>
      <w:r>
        <w:t xml:space="preserve"> exist, we highlight three </w:t>
      </w:r>
      <w:r w:rsidR="00A30C58">
        <w:t xml:space="preserve">test </w:t>
      </w:r>
      <w:r>
        <w:t>cases for this pathway: Tranexamic acid for trauma victims</w:t>
      </w:r>
      <w:r w:rsidR="00075CF1">
        <w:t xml:space="preserve"> </w:t>
      </w:r>
      <w:r w:rsidR="00075CF1">
        <w:fldChar w:fldCharType="begin"/>
      </w:r>
      <w:r w:rsidR="000B5595">
        <w:instrText xml:space="preserve"> ADDIN ZOTERO_ITEM CSL_CITATION {"citationID":"MFoWlrIJ","properties":{"formattedCitation":"\\super 10\\nosupersub{}","plainCitation":"10","noteIndex":0},"citationItems":[{"id":23286,"uris":["http://zotero.org/users/10182210/items/4FZXNXUH"],"itemData":{"id":23286,"type":"article-journal","container-title":"The Lancet","DOI":"10.1016/S0140-6736(22)00664-X","ISSN":"01406736","issue":"10336","journalAbbreviation":"The Lancet","language":"en","page":"1675-1677","source":"DOI.org (Crossref)","title":"Tranexamic acid for trauma in the USA: is prejudice a barrier to saving lives?","title-short":"Tranexamic acid for trauma in the USA","volume":"399","author":[{"family":"Roberts","given":"Ian"},{"family":"Shakur-Still","given":"Haleema"}],"issued":{"date-parts":[["2022",4]]}}}],"schema":"https://github.com/citation-style-language/schema/raw/master/csl-citation.json"} </w:instrText>
      </w:r>
      <w:r w:rsidR="00075CF1">
        <w:fldChar w:fldCharType="separate"/>
      </w:r>
      <w:r w:rsidR="000B5595" w:rsidRPr="000B5595">
        <w:rPr>
          <w:rFonts w:ascii="Calibri" w:hAnsi="Calibri" w:cs="Calibri"/>
          <w:szCs w:val="24"/>
          <w:vertAlign w:val="superscript"/>
        </w:rPr>
        <w:t>10</w:t>
      </w:r>
      <w:r w:rsidR="00075CF1">
        <w:fldChar w:fldCharType="end"/>
      </w:r>
      <w:r>
        <w:t>; Rituximab for multiple sclerosis</w:t>
      </w:r>
      <w:r w:rsidR="00075CF1">
        <w:t xml:space="preserve"> </w:t>
      </w:r>
      <w:r w:rsidR="00075CF1">
        <w:fldChar w:fldCharType="begin"/>
      </w:r>
      <w:r w:rsidR="000B5595">
        <w:instrText xml:space="preserve"> ADDIN ZOTERO_ITEM CSL_CITATION {"citationID":"UOhYRxZT","properties":{"formattedCitation":"\\super 11\\nosupersub{}","plainCitation":"11","noteIndex":0},"citationItems":[{"id":23407,"uris":["http://zotero.org/users/10182210/items/7I7QJ3ZJ"],"itemData":{"id":23407,"type":"article-journal","abstract":"BACKGROUND: B-cell depleting therapies are highly efficacious in relapsing-remitting multiple sclerosis but one such therapy, rituximab, is not approved for multiple sclerosis and no phase 3 trial data are available. We therefore examined the safety and efficacy of rituximab compared with dimethyl fumarate in patients with relapsing-remitting multiple sclerosis to obtain data that might allow inclusion of rituximab in treatment guidelines.\nMETHODS: RIFUND-MS was a multicentre, rater-blinded, active-comparator, phase 3, randomised controlled trial done at 17 Swedish university and community hospitals. Key inclusion criteria for participants were: age 18-50 years; relapsing-remitting multiple sclerosis or clinically isolated syndrome according to prevailing McDonald criteria; 10 years or less since diagnosis; untreated or only exposed to interferons or glatiramer acetate; and with clinical or neuroradiological disease activity in the past year. Patients were automatically randomly assigned (1:1) by the treating physician using a randomisation module in the Swedish multiple sclerosis registry, without stratification, to oral dimethyl fumarate 240 mg twice daily or to intravenous rituximab 1000 mg followed by 500 mg every 6 months. Relapse evaluation, Expanded Disability Status Scale rating, and assessment of MRI scans were done by examining physicians and radiologists masked to treatment allocation. The primary outcome was the proportion of patients with at least one relapse (defined as subacute onset of new or worsening neurological symptoms compatible with multiple sclerosis with a duration of more than 24 h and preceded by at least 30 days of clinical stability), assessed in an intention-to-treat analysis using log-binomial regression with robust standard errors. This trial is registered at ClinicalTrials.gov, NCT02746744.\nFINDINGS: Between July 1, 2016, and Dec 18, 2018, 322 patients were screened for eligibility, 200 of whom were randomly assigned to a treatment group (100 assigned to rituximab and 100 assigned to dimethyl fumarate). The last patient completed 24-month follow-up on April 21, 2021. 98 patients in the rituximab group and 97 patients in the dimethyl fumarate group were eligible for the primary outcome analysis. Three (3%) patients in the rituximab group and 16 (16%) patients in the dimethyl fumarate group had a protocol-defined relapse during the trial, corresponding to a risk ratio of 0·19 (95% CI 0·06-0·62; p=0·0060). Infusion reactions (105 events [40·9 per 100 patient-years]) in the rituximab group and gastrointestinal reactions (65 events [47·4 per 100 patient-years]) and flush (65 events [47·4 per 100 patient-years]) in the dimethyl fumarate group were the most prevalent adverse events. There were no safety concerns.\nINTERPRETATION: RIFUND-MS provides evidence that rituximab given as 1000 mg followed by 500 mg every 6 months is superior to dimethyl fumarate in preventing relapses over 24 months in patients with early relapsing-remitting multiple sclerosis. Health economic and long-term safety studies of rituximab in patients with multiple sclerosis are needed.\nFUNDING: Swedish Research Council.","container-title":"The Lancet. Neurology","DOI":"10.1016/S1474-4422(22)00209-5","ISSN":"1474-4465","issue":"8","journalAbbreviation":"Lancet Neurol","language":"eng","note":"PMID: 35841908","page":"693-703","source":"PubMed","title":"Safety and efficacy of rituximab versus dimethyl fumarate in patients with relapsing-remitting multiple sclerosis or clinically isolated syndrome in Sweden: a rater-blinded, phase 3, randomised controlled trial","title-short":"Safety and efficacy of rituximab versus dimethyl fumarate in patients with relapsing-remitting multiple sclerosis or clinically isolated syndrome in Sweden","volume":"21","author":[{"family":"Svenningsson","given":"Anders"},{"family":"Frisell","given":"Thomas"},{"family":"Burman","given":"Joachim"},{"family":"Salzer","given":"Jonatan"},{"family":"Fink","given":"Katharina"},{"family":"Hallberg","given":"Susanna"},{"family":"Hambraeus","given":"Joakim"},{"family":"Axelsson","given":"Markus"},{"family":"Nimer","given":"Faiez Al"},{"family":"Sundström","given":"Peter"},{"family":"Gunnarsson","given":"Martin"},{"family":"Johansson","given":"Rune"},{"family":"Mellergård","given":"Johan"},{"family":"Rosenstein","given":"Igal"},{"family":"Ayad","given":"Ahmad"},{"family":"Sjöblom","given":"Irina"},{"family":"Risedal","given":"Anette"},{"family":"Flon","given":"Pierre","non-dropping-particle":"de"},{"family":"Gilland","given":"Eric"},{"family":"Lindeberg","given":"Jonas"},{"family":"Shawket","given":"Fadi"},{"family":"Piehl","given":"Fredrik"},{"family":"Lycke","given":"Jan"}],"issued":{"date-parts":[["2022",8]]}}}],"schema":"https://github.com/citation-style-language/schema/raw/master/csl-citation.json"} </w:instrText>
      </w:r>
      <w:r w:rsidR="00075CF1">
        <w:fldChar w:fldCharType="separate"/>
      </w:r>
      <w:r w:rsidR="000B5595" w:rsidRPr="000B5595">
        <w:rPr>
          <w:rFonts w:ascii="Calibri" w:hAnsi="Calibri" w:cs="Calibri"/>
          <w:szCs w:val="24"/>
          <w:vertAlign w:val="superscript"/>
        </w:rPr>
        <w:t>11</w:t>
      </w:r>
      <w:r w:rsidR="00075CF1">
        <w:fldChar w:fldCharType="end"/>
      </w:r>
      <w:r>
        <w:t>; Sorafenib for post-transplant maintenance in FLT3-ITD AML</w:t>
      </w:r>
      <w:r w:rsidR="00075CF1">
        <w:t xml:space="preserve"> </w:t>
      </w:r>
      <w:r w:rsidR="00075CF1">
        <w:fldChar w:fldCharType="begin"/>
      </w:r>
      <w:r w:rsidR="000B5595">
        <w:instrText xml:space="preserve"> ADDIN ZOTERO_ITEM CSL_CITATION {"citationID":"WTvZBwHF","properties":{"formattedCitation":"\\super 12,13\\nosupersub{}","plainCitation":"12,13","noteIndex":0},"citationItems":[{"id":23405,"uris":["http://zotero.org/users/10182210/items/WV7W45KR"],"itemData":{"id":23405,"type":"article-journal","abstract":"BACKGROUND: Findings of retrospective studies suggest that sorafenib maintenance post-transplantation might reduce relapse in patients with FLT3 internal tandem duplication (FLT3-ITD) acute myeloid leukaemia undergoing allogeneic haematopoietic stem-cell transplantation. We investigated the efficacy and tolerability of sorafenib maintenance post-transplantation in this population.\nMETHODS: We did an open-label, randomised phase 3 trial at seven hospitals in China. Eligible patients (aged 18-60 years) had FLT3-ITD acute myeloid leukaemia, were undergoing allogeneic haematopoietic stem-cell transplantation, had an Eastern Cooperative Oncology Group performance status of 0-2, had composite complete remission before and after transplantation, and had haematopoietic recovery within 60 days post-transplantation. Patients were randomly assigned (1:1) to sorafenib maintenance (400 mg orally twice daily) or non-maintenance (control) at 30-60 days post-transplantation. Randomisation was done with permuted blocks (block size four) and implemented through an interactive web-based randomisation system. The primary endpoint was the 1-year cumulative incidence of relapse in the intention-to-treat population. This trial is registered with ClinicalTrials.gov, NCT02474290; the trial is complete.\nFINDINGS: Between June 20, 2015, and July 21, 2018, 202 patients were enrolled and randomly assigned to sorafenib maintenance (n=100) or control (n=102). Median follow-up post-transplantation was 21·3 months (IQR 15·0-37·0). The 1-year cumulative incidence of relapse was 7·0% (95% CI 3·1-13·1) in the sorafenib group and 24·5% (16·6-33·2) in the control group (hazard ratio 0·25, 95% CI 0·11-0·57; p=0·0010). Within 210 days post-transplantation, the most common grade 3 and 4 adverse events were infections (25 [25%] of 100 patients in the sorafenib group vs 24 [24%] of 102 in the control group), acute graft-versus-host-disease (GVHD; 23 [23%] of 100 vs 21 [21%] of 102), chronic GVHD (18 [18%] of 99 vs 17 [17%] of 99), and haematological toxicity (15 [15%] of 100 vs seven [7%] of 102). There were no treatment-related deaths.\nINTERPRETATION: Sorafenib maintenance post-transplantation can reduce relapse and is well tolerated in patients with FLT3-ITD acute myeloid leukaemia undergoing allogeneic haematopoietic stem-cell transplantation. This strategy could be a suitable therapeutic option for patients with FLT3-ITD acute myeloid leukaemia.\nFUNDING: None.","container-title":"The Lancet. Oncology","DOI":"10.1016/S1470-2045(20)30455-1","ISSN":"1474-5488","issue":"9","journalAbbreviation":"Lancet Oncol","language":"eng","note":"PMID: 32791048","page":"1201-1212","source":"PubMed","title":"Sorafenib maintenance in patients with FLT3-ITD acute myeloid leukaemia undergoing allogeneic haematopoietic stem-cell transplantation: an open-label, multicentre, randomised phase 3 trial","title-short":"Sorafenib maintenance in patients with FLT3-ITD acute myeloid leukaemia undergoing allogeneic haematopoietic stem-cell transplantation","volume":"21","author":[{"family":"Xuan","given":"Li"},{"family":"Wang","given":"Yu"},{"family":"Huang","given":"Fen"},{"family":"Fan","given":"Zhiping"},{"family":"Xu","given":"Yajing"},{"family":"Sun","given":"Jing"},{"family":"Xu","given":"Na"},{"family":"Deng","given":"Lan"},{"family":"Li","given":"Xudong"},{"family":"Liang","given":"Xinquan"},{"family":"Luo","given":"Xiaodan"},{"family":"Shi","given":"Pengcheng"},{"family":"Liu","given":"Hui"},{"family":"Wang","given":"Zhixiang"},{"family":"Jiang","given":"Ling"},{"family":"Yu","given":"Chunzi"},{"family":"Zhou","given":"Xuan"},{"family":"Lin","given":"Ren"},{"family":"Chen","given":"Yan"},{"family":"Tu","given":"Sanfang"},{"family":"Huang","given":"Xiaojun"},{"family":"Liu","given":"Qifa"}],"issued":{"date-parts":[["2020",9]]}}},{"id":23402,"uris":["http://zotero.org/users/10182210/items/PDV3QNCP"],"itemData":{"id":23402,"type":"article-journal","abstract":"PURPOSE: Despite undergoing allogeneic hematopoietic stem cell transplantation (HCT), patients with acute myeloid leukemia (AML) with internal tandem duplication mutation in the FMS-like tyrosine kinase 3 gene (FLT3-ITD) have a poor prognosis, frequently relapse, and die as a result of AML. It is currently unknown whether a maintenance therapy using FLT3 inhibitors, such as the multitargeted tyrosine kinase inhibitor sorafenib, improves outcome after HCT.\nPATIENTS AND METHODS: In a randomized, placebo-controlled, double-blind phase II trial (SORMAIN; German Clinical Trials Register: DRKS00000591), 83 adult patients with FLT3-ITD-positive AML in complete hematologic remission after HCT were randomly assigned to receive for 24 months either the multitargeted and FLT3-kinase inhibitor sorafenib (n = 43) or placebo (n = 40 placebo). Relapse-free survival (RFS) was the primary endpoint of this trial. Relapse was defined as relapse or death, whatever occurred first.\nRESULTS: With a median follow-up of 41.8 months, the hazard ratio (HR) for relapse or death in the sorafenib group versus placebo group was 0.39 (95% CI, 0.18 to 0.85; log-rank P = .013). The 24-month RFS probability was 53.3% (95% CI, 0.36 to 0.68) with placebo versus 85.0% (95% CI, 0.70 to 0.93) with sorafenib (HR, 0.256; 95% CI, 0.10 to 0.65; log-rank P = .002). Exploratory data show that patients with undetectable minimal residual disease (MRD) before HCT and those with detectable MRD after HCT derive the strongest benefit from sorafenib.\nCONCLUSION: Sorafenib maintenance therapy reduces the risk of relapse and death after HCT for FLT3-ITD-positive AML.","container-title":"Journal of Clinical Oncology: Official Journal of the American Society of Clinical Oncology","DOI":"10.1200/JCO.19.03345","ISSN":"1527-7755","issue":"26","journalAbbreviation":"J Clin Oncol","language":"eng","note":"PMID: 32673171","page":"2993-3002","source":"PubMed","title":"Sorafenib Maintenance After Allogeneic Hematopoietic Stem Cell Transplantation for Acute Myeloid Leukemia With FLT3-Internal Tandem Duplication Mutation (SORMAIN)","volume":"38","author":[{"family":"Burchert","given":"Andreas"},{"family":"Bug","given":"Gesine"},{"family":"Fritz","given":"Lea V."},{"family":"Finke","given":"Jürgen"},{"family":"Stelljes","given":"Matthias"},{"family":"Röllig","given":"Christoph"},{"family":"Wollmer","given":"Ellen"},{"family":"Wäsch","given":"Ralph"},{"family":"Bornhäuser","given":"Martin"},{"family":"Berg","given":"Tobias"},{"family":"Lang","given":"Fabian"},{"family":"Ehninger","given":"Gerhard"},{"family":"Serve","given":"Hubert"},{"family":"Zeiser","given":"Robert"},{"family":"Wagner","given":"Eva-Maria"},{"family":"Kröger","given":"Nicolaus"},{"family":"Wolschke","given":"Christine"},{"family":"Schleuning","given":"Michael"},{"family":"Götze","given":"Katharina S."},{"family":"Schmid","given":"Christoph"},{"family":"Crysandt","given":"Martina"},{"family":"Eßeling","given":"Eva"},{"family":"Wolf","given":"Dominik"},{"family":"Wang","given":"Ying"},{"family":"Böhm","given":"Alexandra"},{"family":"Thiede","given":"Christian"},{"family":"Haferlach","given":"Torsten"},{"family":"Michel","given":"Christian"},{"family":"Bethge","given":"Wolfgang"},{"family":"Wündisch","given":"Thomas"},{"family":"Brandts","given":"Christian"},{"family":"Harnisch","given":"Susanne"},{"family":"Wittenberg","given":"Michael"},{"family":"Hoeffkes","given":"Heinz-Gert"},{"family":"Rospleszcz","given":"Susanne"},{"family":"Burchardt","given":"Alexander"},{"family":"Neubauer","given":"Andreas"},{"family":"Brugger","given":"Markus"},{"family":"Strauch","given":"Konstantin"},{"family":"Schade-Brittinger","given":"Carmen"},{"family":"Metzelder","given":"Stephan K."}],"issued":{"date-parts":[["2020",9,10]]}}}],"schema":"https://github.com/citation-style-language/schema/raw/master/csl-citation.json"} </w:instrText>
      </w:r>
      <w:r w:rsidR="00075CF1">
        <w:fldChar w:fldCharType="separate"/>
      </w:r>
      <w:r w:rsidR="000B5595" w:rsidRPr="000B5595">
        <w:rPr>
          <w:rFonts w:ascii="Calibri" w:hAnsi="Calibri" w:cs="Calibri"/>
          <w:szCs w:val="24"/>
          <w:vertAlign w:val="superscript"/>
        </w:rPr>
        <w:t>12,13</w:t>
      </w:r>
      <w:r w:rsidR="00075CF1">
        <w:fldChar w:fldCharType="end"/>
      </w:r>
      <w:r>
        <w:t>.</w:t>
      </w:r>
    </w:p>
    <w:p w14:paraId="02B98137" w14:textId="3E9CB593" w:rsidR="00160024" w:rsidRDefault="00877B1F" w:rsidP="001F0DA1">
      <w:r>
        <w:t xml:space="preserve">It may be argued that our proposal </w:t>
      </w:r>
      <w:r w:rsidR="00841B03">
        <w:t xml:space="preserve">will </w:t>
      </w:r>
      <w:r w:rsidR="007A607D">
        <w:t xml:space="preserve">ultimately benefit the MAHs, who may benefit financially from </w:t>
      </w:r>
      <w:r w:rsidR="00AC4A0E">
        <w:t>the work of academics, clinicians and regulators in producing the evidence to support the addition of new indications</w:t>
      </w:r>
      <w:r w:rsidR="00255CC7">
        <w:t xml:space="preserve"> for existing medicines. However, in many cases the </w:t>
      </w:r>
      <w:r w:rsidR="00402362">
        <w:t xml:space="preserve">repurposed </w:t>
      </w:r>
      <w:r w:rsidR="00255CC7">
        <w:t xml:space="preserve">drugs are </w:t>
      </w:r>
      <w:r w:rsidR="000D2F5D">
        <w:t>widely available as generics, at relatively low cost</w:t>
      </w:r>
      <w:r w:rsidR="00961E6A">
        <w:t>, and the additional revenue will be slight, particularly for rare diseases.</w:t>
      </w:r>
      <w:r w:rsidR="00886A10">
        <w:t xml:space="preserve"> The main beneficiaries will be patients </w:t>
      </w:r>
      <w:r w:rsidR="0096291B">
        <w:t>and health systems able to access new treatments to meet existing unmet needs.</w:t>
      </w:r>
    </w:p>
    <w:p w14:paraId="15C43CDB" w14:textId="5567E0F5" w:rsidR="00D50A83" w:rsidRDefault="001F0DA1" w:rsidP="001F0DA1">
      <w:r>
        <w:t>Recent regulatory developments in the context of post-COVID pandemic planning are supportive of what we propose. The role of the EMA has been reinforced in crisis preparedness using new regulation</w:t>
      </w:r>
      <w:r w:rsidR="001934C5">
        <w:t>s</w:t>
      </w:r>
      <w:r w:rsidR="00075CF1">
        <w:t xml:space="preserve"> </w:t>
      </w:r>
      <w:r w:rsidR="00075CF1">
        <w:fldChar w:fldCharType="begin"/>
      </w:r>
      <w:r w:rsidR="000B5595">
        <w:instrText xml:space="preserve"> ADDIN ZOTERO_ITEM CSL_CITATION {"citationID":"XW8Z2cID","properties":{"formattedCitation":"\\super 14\\nosupersub{}","plainCitation":"14","noteIndex":0},"citationItems":[{"id":23673,"uris":["http://zotero.org/users/10182210/items/76FLBFJV"],"itemData":{"id":23673,"type":"legislation","container-title":"OJ L","language":"en","note":"authority: EP, CONSIL","title":"Regulation (EU) 2022/123 of the European Parliament and of the Council of 25 January 2022 on a reinforced role for the European Medicines Agency in crisis preparedness and management for medicinal products and medical devices (Text with EEA relevance)","URL":"http://data.europa.eu/eli/reg/2022/123/oj/eng","volume":"020","accessed":{"date-parts":[["2022",12,7]]},"issued":{"date-parts":[["2022",1,25]]}}}],"schema":"https://github.com/citation-style-language/schema/raw/master/csl-citation.json"} </w:instrText>
      </w:r>
      <w:r w:rsidR="00075CF1">
        <w:fldChar w:fldCharType="separate"/>
      </w:r>
      <w:r w:rsidR="000B5595" w:rsidRPr="000B5595">
        <w:rPr>
          <w:rFonts w:ascii="Calibri" w:hAnsi="Calibri" w:cs="Calibri"/>
          <w:szCs w:val="24"/>
          <w:vertAlign w:val="superscript"/>
        </w:rPr>
        <w:t>14</w:t>
      </w:r>
      <w:r w:rsidR="00075CF1">
        <w:fldChar w:fldCharType="end"/>
      </w:r>
      <w:r>
        <w:t xml:space="preserve">. Article 18 includes provision for the EMA to request information and data from </w:t>
      </w:r>
      <w:r w:rsidR="00A30C58">
        <w:t>MAHs</w:t>
      </w:r>
      <w:r>
        <w:t xml:space="preserve">, and to make use of additional health data generated from outside of clinical studies. This is </w:t>
      </w:r>
      <w:r w:rsidR="00D079C3">
        <w:t xml:space="preserve">effectively </w:t>
      </w:r>
      <w:r>
        <w:t xml:space="preserve">a </w:t>
      </w:r>
      <w:r w:rsidR="00C04BCF">
        <w:t>drug evidence watch</w:t>
      </w:r>
      <w:r>
        <w:t xml:space="preserve"> process in the context of a pandemic. </w:t>
      </w:r>
      <w:r w:rsidR="00D079C3">
        <w:t>It enables a more proactive EMA role in ensuring citizens get access to safe and effective drugs.</w:t>
      </w:r>
      <w:r>
        <w:t xml:space="preserve"> Such measures may appear commensurate with pandemic health emergencies, but there are also very high unmet needs in other areas of medicine that are deserving of urgent regulatory solutions. We fear that safe and effective new treatments using existing licensed medicines may languish and remain inaccessible to patients unless we also innovate in regulatory pathways.</w:t>
      </w:r>
      <w:r w:rsidR="00DC2B12">
        <w:t xml:space="preserve"> </w:t>
      </w:r>
      <w:r w:rsidR="007E603B">
        <w:t xml:space="preserve">Our proposal requires no major change to </w:t>
      </w:r>
      <w:r w:rsidR="000A2239">
        <w:t>pharmaceutical legislation or regulation</w:t>
      </w:r>
      <w:r w:rsidR="00795F4C">
        <w:t xml:space="preserve">, </w:t>
      </w:r>
      <w:r w:rsidR="004F0F96">
        <w:t xml:space="preserve">instead </w:t>
      </w:r>
      <w:r w:rsidR="00795F4C">
        <w:t xml:space="preserve">it </w:t>
      </w:r>
      <w:r w:rsidR="002360DE">
        <w:t xml:space="preserve">refines existing pathways </w:t>
      </w:r>
      <w:r w:rsidR="004F0F96">
        <w:t xml:space="preserve">to deliver an easily implemented change that </w:t>
      </w:r>
      <w:r w:rsidR="006C539D">
        <w:t xml:space="preserve">can potentially unlock </w:t>
      </w:r>
      <w:r w:rsidR="00446146">
        <w:t>new treatments for patients in need.</w:t>
      </w:r>
    </w:p>
    <w:p w14:paraId="60A95F4F" w14:textId="6AA05B72" w:rsidR="00636102" w:rsidRDefault="00636102" w:rsidP="00636102">
      <w:r>
        <w:t>----- Article ends ----</w:t>
      </w:r>
    </w:p>
    <w:p w14:paraId="550ECEDD" w14:textId="77777777" w:rsidR="00636102" w:rsidRPr="00636102" w:rsidRDefault="00636102" w:rsidP="00636102">
      <w:pPr>
        <w:rPr>
          <w:i/>
          <w:iCs/>
        </w:rPr>
      </w:pPr>
      <w:r w:rsidRPr="00636102">
        <w:rPr>
          <w:i/>
          <w:iCs/>
        </w:rPr>
        <w:t>We declare no competing interests.</w:t>
      </w:r>
    </w:p>
    <w:p w14:paraId="7262D83F" w14:textId="77777777" w:rsidR="00636102" w:rsidRDefault="00636102" w:rsidP="001F0DA1"/>
    <w:p w14:paraId="770B4145" w14:textId="05D3E031" w:rsidR="00B461E8" w:rsidRDefault="00B461E8">
      <w:r>
        <w:br w:type="page"/>
      </w:r>
    </w:p>
    <w:p w14:paraId="09215F53" w14:textId="77777777" w:rsidR="00636102" w:rsidRDefault="00636102"/>
    <w:p w14:paraId="5BDEA2B2" w14:textId="77777777" w:rsidR="000B5595" w:rsidRPr="000B5595" w:rsidRDefault="00B461E8" w:rsidP="000B5595">
      <w:pPr>
        <w:pStyle w:val="Bibliography"/>
        <w:rPr>
          <w:rFonts w:ascii="Calibri" w:hAnsi="Calibri" w:cs="Calibri"/>
        </w:rPr>
      </w:pPr>
      <w:r>
        <w:fldChar w:fldCharType="begin"/>
      </w:r>
      <w:r>
        <w:instrText xml:space="preserve"> ADDIN ZOTERO_BIBL {"uncited":[],"omitted":[],"custom":[]} CSL_BIBLIOGRAPHY </w:instrText>
      </w:r>
      <w:r>
        <w:fldChar w:fldCharType="separate"/>
      </w:r>
      <w:r w:rsidR="000B5595" w:rsidRPr="000B5595">
        <w:rPr>
          <w:rFonts w:ascii="Calibri" w:hAnsi="Calibri" w:cs="Calibri"/>
        </w:rPr>
        <w:t>1</w:t>
      </w:r>
      <w:r w:rsidR="000B5595" w:rsidRPr="000B5595">
        <w:rPr>
          <w:rFonts w:ascii="Calibri" w:hAnsi="Calibri" w:cs="Calibri"/>
        </w:rPr>
        <w:tab/>
        <w:t>Guideline on good pharmacovigilance practices (GVP) - Module VI – Collection, management and submission of reports of suspected adverse reactions to medicinal products (Rev 2). ; : 144.</w:t>
      </w:r>
    </w:p>
    <w:p w14:paraId="07145B90" w14:textId="77777777" w:rsidR="000B5595" w:rsidRPr="000B5595" w:rsidRDefault="000B5595" w:rsidP="000B5595">
      <w:pPr>
        <w:pStyle w:val="Bibliography"/>
        <w:rPr>
          <w:rFonts w:ascii="Calibri" w:hAnsi="Calibri" w:cs="Calibri"/>
        </w:rPr>
      </w:pPr>
      <w:r w:rsidRPr="000B5595">
        <w:rPr>
          <w:rFonts w:ascii="Calibri" w:hAnsi="Calibri" w:cs="Calibri"/>
        </w:rPr>
        <w:t>2</w:t>
      </w:r>
      <w:r w:rsidRPr="000B5595">
        <w:rPr>
          <w:rFonts w:ascii="Calibri" w:hAnsi="Calibri" w:cs="Calibri"/>
        </w:rPr>
        <w:tab/>
        <w:t>European Medicines Agency,. MabThera Assessment Report. (2019). https://www.ema.europa.eu/en/documents/variation-report/mabthera-h-c-165-ii-150-epar-assessment-report-variation_en.pdf (accessed March 15, 2023).</w:t>
      </w:r>
    </w:p>
    <w:p w14:paraId="33094F12" w14:textId="77777777" w:rsidR="000B5595" w:rsidRPr="000B5595" w:rsidRDefault="000B5595" w:rsidP="000B5595">
      <w:pPr>
        <w:pStyle w:val="Bibliography"/>
        <w:rPr>
          <w:rFonts w:ascii="Calibri" w:hAnsi="Calibri" w:cs="Calibri"/>
        </w:rPr>
      </w:pPr>
      <w:r w:rsidRPr="000B5595">
        <w:rPr>
          <w:rFonts w:ascii="Calibri" w:hAnsi="Calibri" w:cs="Calibri"/>
        </w:rPr>
        <w:t>3</w:t>
      </w:r>
      <w:r w:rsidRPr="000B5595">
        <w:rPr>
          <w:rFonts w:ascii="Calibri" w:hAnsi="Calibri" w:cs="Calibri"/>
        </w:rPr>
        <w:tab/>
        <w:t xml:space="preserve">Hernandez JJ, Pryszlak M, Smith L, </w:t>
      </w:r>
      <w:r w:rsidRPr="000B5595">
        <w:rPr>
          <w:rFonts w:ascii="Calibri" w:hAnsi="Calibri" w:cs="Calibri"/>
          <w:i/>
          <w:iCs/>
        </w:rPr>
        <w:t>et al.</w:t>
      </w:r>
      <w:r w:rsidRPr="000B5595">
        <w:rPr>
          <w:rFonts w:ascii="Calibri" w:hAnsi="Calibri" w:cs="Calibri"/>
        </w:rPr>
        <w:t xml:space="preserve"> Giving Drugs a Second Chance: Overcoming Regulatory and Financial Hurdles in Repurposing Approved Drugs as Cancer Therapeutics. </w:t>
      </w:r>
      <w:r w:rsidRPr="000B5595">
        <w:rPr>
          <w:rFonts w:ascii="Calibri" w:hAnsi="Calibri" w:cs="Calibri"/>
          <w:i/>
          <w:iCs/>
        </w:rPr>
        <w:t>Front Oncol</w:t>
      </w:r>
      <w:r w:rsidRPr="000B5595">
        <w:rPr>
          <w:rFonts w:ascii="Calibri" w:hAnsi="Calibri" w:cs="Calibri"/>
        </w:rPr>
        <w:t xml:space="preserve"> 2017; </w:t>
      </w:r>
      <w:r w:rsidRPr="000B5595">
        <w:rPr>
          <w:rFonts w:ascii="Calibri" w:hAnsi="Calibri" w:cs="Calibri"/>
          <w:b/>
          <w:bCs/>
        </w:rPr>
        <w:t>7</w:t>
      </w:r>
      <w:r w:rsidRPr="000B5595">
        <w:rPr>
          <w:rFonts w:ascii="Calibri" w:hAnsi="Calibri" w:cs="Calibri"/>
        </w:rPr>
        <w:t>: 273.</w:t>
      </w:r>
    </w:p>
    <w:p w14:paraId="072B4261" w14:textId="77777777" w:rsidR="000B5595" w:rsidRPr="000B5595" w:rsidRDefault="000B5595" w:rsidP="000B5595">
      <w:pPr>
        <w:pStyle w:val="Bibliography"/>
        <w:rPr>
          <w:rFonts w:ascii="Calibri" w:hAnsi="Calibri" w:cs="Calibri"/>
        </w:rPr>
      </w:pPr>
      <w:r w:rsidRPr="000B5595">
        <w:rPr>
          <w:rFonts w:ascii="Calibri" w:hAnsi="Calibri" w:cs="Calibri"/>
        </w:rPr>
        <w:t>4</w:t>
      </w:r>
      <w:r w:rsidRPr="000B5595">
        <w:rPr>
          <w:rFonts w:ascii="Calibri" w:hAnsi="Calibri" w:cs="Calibri"/>
        </w:rPr>
        <w:tab/>
        <w:t>EMA. EMA endorses use of dexamethasone in COVID-19 patients on oxygen or mechanical ventilation. Eur. Med. Agency. 2020; published online Sept 18. https://www.ema.europa.eu/en/news/ema-endorses-use-dexamethasone-covid-19-patients-oxygen-mechanical-ventilation (accessed Dec 6, 2022).</w:t>
      </w:r>
    </w:p>
    <w:p w14:paraId="219E38BD" w14:textId="77777777" w:rsidR="000B5595" w:rsidRPr="000B5595" w:rsidRDefault="000B5595" w:rsidP="000B5595">
      <w:pPr>
        <w:pStyle w:val="Bibliography"/>
        <w:rPr>
          <w:rFonts w:ascii="Calibri" w:hAnsi="Calibri" w:cs="Calibri"/>
        </w:rPr>
      </w:pPr>
      <w:r w:rsidRPr="000B5595">
        <w:rPr>
          <w:rFonts w:ascii="Calibri" w:hAnsi="Calibri" w:cs="Calibri"/>
        </w:rPr>
        <w:t>5</w:t>
      </w:r>
      <w:r w:rsidRPr="000B5595">
        <w:rPr>
          <w:rFonts w:ascii="Calibri" w:hAnsi="Calibri" w:cs="Calibri"/>
        </w:rPr>
        <w:tab/>
        <w:t xml:space="preserve">CRASH-2 collaborators, Roberts I, Shakur H, </w:t>
      </w:r>
      <w:r w:rsidRPr="000B5595">
        <w:rPr>
          <w:rFonts w:ascii="Calibri" w:hAnsi="Calibri" w:cs="Calibri"/>
          <w:i/>
          <w:iCs/>
        </w:rPr>
        <w:t>et al.</w:t>
      </w:r>
      <w:r w:rsidRPr="000B5595">
        <w:rPr>
          <w:rFonts w:ascii="Calibri" w:hAnsi="Calibri" w:cs="Calibri"/>
        </w:rPr>
        <w:t xml:space="preserve"> The importance of early treatment with tranexamic acid in bleeding trauma patients: an exploratory analysis of the CRASH-2 randomised controlled trial. </w:t>
      </w:r>
      <w:r w:rsidRPr="000B5595">
        <w:rPr>
          <w:rFonts w:ascii="Calibri" w:hAnsi="Calibri" w:cs="Calibri"/>
          <w:i/>
          <w:iCs/>
        </w:rPr>
        <w:t>Lancet Lond Engl</w:t>
      </w:r>
      <w:r w:rsidRPr="000B5595">
        <w:rPr>
          <w:rFonts w:ascii="Calibri" w:hAnsi="Calibri" w:cs="Calibri"/>
        </w:rPr>
        <w:t xml:space="preserve"> 2011; </w:t>
      </w:r>
      <w:r w:rsidRPr="000B5595">
        <w:rPr>
          <w:rFonts w:ascii="Calibri" w:hAnsi="Calibri" w:cs="Calibri"/>
          <w:b/>
          <w:bCs/>
        </w:rPr>
        <w:t>377</w:t>
      </w:r>
      <w:r w:rsidRPr="000B5595">
        <w:rPr>
          <w:rFonts w:ascii="Calibri" w:hAnsi="Calibri" w:cs="Calibri"/>
        </w:rPr>
        <w:t>: 1096–101, 1101.e1-2.</w:t>
      </w:r>
    </w:p>
    <w:p w14:paraId="4DF378A9" w14:textId="77777777" w:rsidR="000B5595" w:rsidRPr="000B5595" w:rsidRDefault="000B5595" w:rsidP="000B5595">
      <w:pPr>
        <w:pStyle w:val="Bibliography"/>
        <w:rPr>
          <w:rFonts w:ascii="Calibri" w:hAnsi="Calibri" w:cs="Calibri"/>
        </w:rPr>
      </w:pPr>
      <w:r w:rsidRPr="000B5595">
        <w:rPr>
          <w:rFonts w:ascii="Calibri" w:hAnsi="Calibri" w:cs="Calibri"/>
        </w:rPr>
        <w:t>6</w:t>
      </w:r>
      <w:r w:rsidRPr="000B5595">
        <w:rPr>
          <w:rFonts w:ascii="Calibri" w:hAnsi="Calibri" w:cs="Calibri"/>
        </w:rPr>
        <w:tab/>
        <w:t xml:space="preserve">Adler Y, Charron P, Imazio M, </w:t>
      </w:r>
      <w:r w:rsidRPr="000B5595">
        <w:rPr>
          <w:rFonts w:ascii="Calibri" w:hAnsi="Calibri" w:cs="Calibri"/>
          <w:i/>
          <w:iCs/>
        </w:rPr>
        <w:t>et al.</w:t>
      </w:r>
      <w:r w:rsidRPr="000B5595">
        <w:rPr>
          <w:rFonts w:ascii="Calibri" w:hAnsi="Calibri" w:cs="Calibri"/>
        </w:rPr>
        <w:t xml:space="preserve"> 2015 ESC Guidelines for the diagnosis and management of pericardial diseases: The Task Force for the Diagnosis and Management of Pericardial Diseases of the European Society of Cardiology (ESC)Endorsed by: The European Association for Cardio-Thoracic Surgery (EACTS). </w:t>
      </w:r>
      <w:r w:rsidRPr="000B5595">
        <w:rPr>
          <w:rFonts w:ascii="Calibri" w:hAnsi="Calibri" w:cs="Calibri"/>
          <w:i/>
          <w:iCs/>
        </w:rPr>
        <w:t>Eur Heart J</w:t>
      </w:r>
      <w:r w:rsidRPr="000B5595">
        <w:rPr>
          <w:rFonts w:ascii="Calibri" w:hAnsi="Calibri" w:cs="Calibri"/>
        </w:rPr>
        <w:t xml:space="preserve"> 2015; </w:t>
      </w:r>
      <w:r w:rsidRPr="000B5595">
        <w:rPr>
          <w:rFonts w:ascii="Calibri" w:hAnsi="Calibri" w:cs="Calibri"/>
          <w:b/>
          <w:bCs/>
        </w:rPr>
        <w:t>36</w:t>
      </w:r>
      <w:r w:rsidRPr="000B5595">
        <w:rPr>
          <w:rFonts w:ascii="Calibri" w:hAnsi="Calibri" w:cs="Calibri"/>
        </w:rPr>
        <w:t>: 2921–64.</w:t>
      </w:r>
    </w:p>
    <w:p w14:paraId="1068C89C" w14:textId="77777777" w:rsidR="000B5595" w:rsidRPr="000B5595" w:rsidRDefault="000B5595" w:rsidP="000B5595">
      <w:pPr>
        <w:pStyle w:val="Bibliography"/>
        <w:rPr>
          <w:rFonts w:ascii="Calibri" w:hAnsi="Calibri" w:cs="Calibri"/>
        </w:rPr>
      </w:pPr>
      <w:r w:rsidRPr="000B5595">
        <w:rPr>
          <w:rFonts w:ascii="Calibri" w:hAnsi="Calibri" w:cs="Calibri"/>
        </w:rPr>
        <w:t>7</w:t>
      </w:r>
      <w:r w:rsidRPr="000B5595">
        <w:rPr>
          <w:rFonts w:ascii="Calibri" w:hAnsi="Calibri" w:cs="Calibri"/>
        </w:rPr>
        <w:tab/>
        <w:t xml:space="preserve">RECOVERY Collaborative Group, Horby P, Lim WS, </w:t>
      </w:r>
      <w:r w:rsidRPr="000B5595">
        <w:rPr>
          <w:rFonts w:ascii="Calibri" w:hAnsi="Calibri" w:cs="Calibri"/>
          <w:i/>
          <w:iCs/>
        </w:rPr>
        <w:t>et al.</w:t>
      </w:r>
      <w:r w:rsidRPr="000B5595">
        <w:rPr>
          <w:rFonts w:ascii="Calibri" w:hAnsi="Calibri" w:cs="Calibri"/>
        </w:rPr>
        <w:t xml:space="preserve"> Dexamethasone in Hospitalized Patients with Covid-19. </w:t>
      </w:r>
      <w:r w:rsidRPr="000B5595">
        <w:rPr>
          <w:rFonts w:ascii="Calibri" w:hAnsi="Calibri" w:cs="Calibri"/>
          <w:i/>
          <w:iCs/>
        </w:rPr>
        <w:t>N Engl J Med</w:t>
      </w:r>
      <w:r w:rsidRPr="000B5595">
        <w:rPr>
          <w:rFonts w:ascii="Calibri" w:hAnsi="Calibri" w:cs="Calibri"/>
        </w:rPr>
        <w:t xml:space="preserve"> 2021; </w:t>
      </w:r>
      <w:r w:rsidRPr="000B5595">
        <w:rPr>
          <w:rFonts w:ascii="Calibri" w:hAnsi="Calibri" w:cs="Calibri"/>
          <w:b/>
          <w:bCs/>
        </w:rPr>
        <w:t>384</w:t>
      </w:r>
      <w:r w:rsidRPr="000B5595">
        <w:rPr>
          <w:rFonts w:ascii="Calibri" w:hAnsi="Calibri" w:cs="Calibri"/>
        </w:rPr>
        <w:t>: 693–704.</w:t>
      </w:r>
    </w:p>
    <w:p w14:paraId="1EE4BAA7" w14:textId="77777777" w:rsidR="000B5595" w:rsidRPr="000B5595" w:rsidRDefault="000B5595" w:rsidP="000B5595">
      <w:pPr>
        <w:pStyle w:val="Bibliography"/>
        <w:rPr>
          <w:rFonts w:ascii="Calibri" w:hAnsi="Calibri" w:cs="Calibri"/>
        </w:rPr>
      </w:pPr>
      <w:r w:rsidRPr="000B5595">
        <w:rPr>
          <w:rFonts w:ascii="Calibri" w:hAnsi="Calibri" w:cs="Calibri"/>
        </w:rPr>
        <w:t>8</w:t>
      </w:r>
      <w:r w:rsidRPr="000B5595">
        <w:rPr>
          <w:rFonts w:ascii="Calibri" w:hAnsi="Calibri" w:cs="Calibri"/>
        </w:rPr>
        <w:tab/>
        <w:t xml:space="preserve">Ladanie A, Ioannidis JPA, Stafford RS, Ewald H, Bucher HC, Hemkens LG. Off-label treatments were not consistently better or worse than approved drug treatments in randomized trials. </w:t>
      </w:r>
      <w:r w:rsidRPr="000B5595">
        <w:rPr>
          <w:rFonts w:ascii="Calibri" w:hAnsi="Calibri" w:cs="Calibri"/>
          <w:i/>
          <w:iCs/>
        </w:rPr>
        <w:t>J Clin Epidemiol</w:t>
      </w:r>
      <w:r w:rsidRPr="000B5595">
        <w:rPr>
          <w:rFonts w:ascii="Calibri" w:hAnsi="Calibri" w:cs="Calibri"/>
        </w:rPr>
        <w:t xml:space="preserve"> 2017; published online Nov. DOI:10.1016/j.jclinepi.2017.11.006.</w:t>
      </w:r>
    </w:p>
    <w:p w14:paraId="47D95210" w14:textId="77777777" w:rsidR="000B5595" w:rsidRPr="000B5595" w:rsidRDefault="000B5595" w:rsidP="000B5595">
      <w:pPr>
        <w:pStyle w:val="Bibliography"/>
        <w:rPr>
          <w:rFonts w:ascii="Calibri" w:hAnsi="Calibri" w:cs="Calibri"/>
        </w:rPr>
      </w:pPr>
      <w:r w:rsidRPr="000B5595">
        <w:rPr>
          <w:rFonts w:ascii="Calibri" w:hAnsi="Calibri" w:cs="Calibri"/>
        </w:rPr>
        <w:t>9</w:t>
      </w:r>
      <w:r w:rsidRPr="000B5595">
        <w:rPr>
          <w:rFonts w:ascii="Calibri" w:hAnsi="Calibri" w:cs="Calibri"/>
        </w:rPr>
        <w:tab/>
        <w:t xml:space="preserve">Verbaanderd C, Rooman I, Meheus L, Huys I. On-Label or Off-Label? Overcoming Regulatory and Financial Barriers to Bring Repurposed Medicines to Cancer Patients. </w:t>
      </w:r>
      <w:r w:rsidRPr="000B5595">
        <w:rPr>
          <w:rFonts w:ascii="Calibri" w:hAnsi="Calibri" w:cs="Calibri"/>
          <w:i/>
          <w:iCs/>
        </w:rPr>
        <w:t>Front Pharmacol</w:t>
      </w:r>
      <w:r w:rsidRPr="000B5595">
        <w:rPr>
          <w:rFonts w:ascii="Calibri" w:hAnsi="Calibri" w:cs="Calibri"/>
        </w:rPr>
        <w:t xml:space="preserve"> 2019; </w:t>
      </w:r>
      <w:r w:rsidRPr="000B5595">
        <w:rPr>
          <w:rFonts w:ascii="Calibri" w:hAnsi="Calibri" w:cs="Calibri"/>
          <w:b/>
          <w:bCs/>
        </w:rPr>
        <w:t>10</w:t>
      </w:r>
      <w:r w:rsidRPr="000B5595">
        <w:rPr>
          <w:rFonts w:ascii="Calibri" w:hAnsi="Calibri" w:cs="Calibri"/>
        </w:rPr>
        <w:t>: 1664.</w:t>
      </w:r>
    </w:p>
    <w:p w14:paraId="772E0EE5" w14:textId="77777777" w:rsidR="000B5595" w:rsidRPr="000B5595" w:rsidRDefault="000B5595" w:rsidP="000B5595">
      <w:pPr>
        <w:pStyle w:val="Bibliography"/>
        <w:rPr>
          <w:rFonts w:ascii="Calibri" w:hAnsi="Calibri" w:cs="Calibri"/>
        </w:rPr>
      </w:pPr>
      <w:r w:rsidRPr="000B5595">
        <w:rPr>
          <w:rFonts w:ascii="Calibri" w:hAnsi="Calibri" w:cs="Calibri"/>
        </w:rPr>
        <w:t>10</w:t>
      </w:r>
      <w:r w:rsidRPr="000B5595">
        <w:rPr>
          <w:rFonts w:ascii="Calibri" w:hAnsi="Calibri" w:cs="Calibri"/>
        </w:rPr>
        <w:tab/>
        <w:t xml:space="preserve">Roberts I, Shakur-Still H. Tranexamic acid for trauma in the USA: is prejudice a barrier to saving lives? </w:t>
      </w:r>
      <w:r w:rsidRPr="000B5595">
        <w:rPr>
          <w:rFonts w:ascii="Calibri" w:hAnsi="Calibri" w:cs="Calibri"/>
          <w:i/>
          <w:iCs/>
        </w:rPr>
        <w:t>The Lancet</w:t>
      </w:r>
      <w:r w:rsidRPr="000B5595">
        <w:rPr>
          <w:rFonts w:ascii="Calibri" w:hAnsi="Calibri" w:cs="Calibri"/>
        </w:rPr>
        <w:t xml:space="preserve"> 2022; </w:t>
      </w:r>
      <w:r w:rsidRPr="000B5595">
        <w:rPr>
          <w:rFonts w:ascii="Calibri" w:hAnsi="Calibri" w:cs="Calibri"/>
          <w:b/>
          <w:bCs/>
        </w:rPr>
        <w:t>399</w:t>
      </w:r>
      <w:r w:rsidRPr="000B5595">
        <w:rPr>
          <w:rFonts w:ascii="Calibri" w:hAnsi="Calibri" w:cs="Calibri"/>
        </w:rPr>
        <w:t>: 1675–7.</w:t>
      </w:r>
    </w:p>
    <w:p w14:paraId="3CFE544A" w14:textId="77777777" w:rsidR="000B5595" w:rsidRPr="000B5595" w:rsidRDefault="000B5595" w:rsidP="000B5595">
      <w:pPr>
        <w:pStyle w:val="Bibliography"/>
        <w:rPr>
          <w:rFonts w:ascii="Calibri" w:hAnsi="Calibri" w:cs="Calibri"/>
        </w:rPr>
      </w:pPr>
      <w:r w:rsidRPr="000B5595">
        <w:rPr>
          <w:rFonts w:ascii="Calibri" w:hAnsi="Calibri" w:cs="Calibri"/>
        </w:rPr>
        <w:t>11</w:t>
      </w:r>
      <w:r w:rsidRPr="000B5595">
        <w:rPr>
          <w:rFonts w:ascii="Calibri" w:hAnsi="Calibri" w:cs="Calibri"/>
        </w:rPr>
        <w:tab/>
        <w:t xml:space="preserve">Svenningsson A, Frisell T, Burman J, </w:t>
      </w:r>
      <w:r w:rsidRPr="000B5595">
        <w:rPr>
          <w:rFonts w:ascii="Calibri" w:hAnsi="Calibri" w:cs="Calibri"/>
          <w:i/>
          <w:iCs/>
        </w:rPr>
        <w:t>et al.</w:t>
      </w:r>
      <w:r w:rsidRPr="000B5595">
        <w:rPr>
          <w:rFonts w:ascii="Calibri" w:hAnsi="Calibri" w:cs="Calibri"/>
        </w:rPr>
        <w:t xml:space="preserve"> Safety and efficacy of rituximab versus dimethyl fumarate in patients with relapsing-remitting multiple sclerosis or clinically isolated syndrome in Sweden: a rater-blinded, phase 3, randomised controlled trial. </w:t>
      </w:r>
      <w:r w:rsidRPr="000B5595">
        <w:rPr>
          <w:rFonts w:ascii="Calibri" w:hAnsi="Calibri" w:cs="Calibri"/>
          <w:i/>
          <w:iCs/>
        </w:rPr>
        <w:t>Lancet Neurol</w:t>
      </w:r>
      <w:r w:rsidRPr="000B5595">
        <w:rPr>
          <w:rFonts w:ascii="Calibri" w:hAnsi="Calibri" w:cs="Calibri"/>
        </w:rPr>
        <w:t xml:space="preserve"> 2022; </w:t>
      </w:r>
      <w:r w:rsidRPr="000B5595">
        <w:rPr>
          <w:rFonts w:ascii="Calibri" w:hAnsi="Calibri" w:cs="Calibri"/>
          <w:b/>
          <w:bCs/>
        </w:rPr>
        <w:t>21</w:t>
      </w:r>
      <w:r w:rsidRPr="000B5595">
        <w:rPr>
          <w:rFonts w:ascii="Calibri" w:hAnsi="Calibri" w:cs="Calibri"/>
        </w:rPr>
        <w:t>: 693–703.</w:t>
      </w:r>
    </w:p>
    <w:p w14:paraId="03F46058" w14:textId="77777777" w:rsidR="000B5595" w:rsidRPr="000B5595" w:rsidRDefault="000B5595" w:rsidP="000B5595">
      <w:pPr>
        <w:pStyle w:val="Bibliography"/>
        <w:rPr>
          <w:rFonts w:ascii="Calibri" w:hAnsi="Calibri" w:cs="Calibri"/>
        </w:rPr>
      </w:pPr>
      <w:r w:rsidRPr="000B5595">
        <w:rPr>
          <w:rFonts w:ascii="Calibri" w:hAnsi="Calibri" w:cs="Calibri"/>
        </w:rPr>
        <w:t>12</w:t>
      </w:r>
      <w:r w:rsidRPr="000B5595">
        <w:rPr>
          <w:rFonts w:ascii="Calibri" w:hAnsi="Calibri" w:cs="Calibri"/>
        </w:rPr>
        <w:tab/>
        <w:t xml:space="preserve">Xuan L, Wang Y, Huang F, </w:t>
      </w:r>
      <w:r w:rsidRPr="000B5595">
        <w:rPr>
          <w:rFonts w:ascii="Calibri" w:hAnsi="Calibri" w:cs="Calibri"/>
          <w:i/>
          <w:iCs/>
        </w:rPr>
        <w:t>et al.</w:t>
      </w:r>
      <w:r w:rsidRPr="000B5595">
        <w:rPr>
          <w:rFonts w:ascii="Calibri" w:hAnsi="Calibri" w:cs="Calibri"/>
        </w:rPr>
        <w:t xml:space="preserve"> Sorafenib maintenance in patients with FLT3-ITD acute myeloid leukaemia undergoing allogeneic haematopoietic stem-cell transplantation: an open-label, multicentre, randomised phase 3 trial. </w:t>
      </w:r>
      <w:r w:rsidRPr="000B5595">
        <w:rPr>
          <w:rFonts w:ascii="Calibri" w:hAnsi="Calibri" w:cs="Calibri"/>
          <w:i/>
          <w:iCs/>
        </w:rPr>
        <w:t>Lancet Oncol</w:t>
      </w:r>
      <w:r w:rsidRPr="000B5595">
        <w:rPr>
          <w:rFonts w:ascii="Calibri" w:hAnsi="Calibri" w:cs="Calibri"/>
        </w:rPr>
        <w:t xml:space="preserve"> 2020; </w:t>
      </w:r>
      <w:r w:rsidRPr="000B5595">
        <w:rPr>
          <w:rFonts w:ascii="Calibri" w:hAnsi="Calibri" w:cs="Calibri"/>
          <w:b/>
          <w:bCs/>
        </w:rPr>
        <w:t>21</w:t>
      </w:r>
      <w:r w:rsidRPr="000B5595">
        <w:rPr>
          <w:rFonts w:ascii="Calibri" w:hAnsi="Calibri" w:cs="Calibri"/>
        </w:rPr>
        <w:t>: 1201–12.</w:t>
      </w:r>
    </w:p>
    <w:p w14:paraId="5120D20E" w14:textId="77777777" w:rsidR="000B5595" w:rsidRPr="000B5595" w:rsidRDefault="000B5595" w:rsidP="000B5595">
      <w:pPr>
        <w:pStyle w:val="Bibliography"/>
        <w:rPr>
          <w:rFonts w:ascii="Calibri" w:hAnsi="Calibri" w:cs="Calibri"/>
        </w:rPr>
      </w:pPr>
      <w:r w:rsidRPr="000B5595">
        <w:rPr>
          <w:rFonts w:ascii="Calibri" w:hAnsi="Calibri" w:cs="Calibri"/>
        </w:rPr>
        <w:t>13</w:t>
      </w:r>
      <w:r w:rsidRPr="000B5595">
        <w:rPr>
          <w:rFonts w:ascii="Calibri" w:hAnsi="Calibri" w:cs="Calibri"/>
        </w:rPr>
        <w:tab/>
        <w:t xml:space="preserve">Burchert A, Bug G, Fritz LV, </w:t>
      </w:r>
      <w:r w:rsidRPr="000B5595">
        <w:rPr>
          <w:rFonts w:ascii="Calibri" w:hAnsi="Calibri" w:cs="Calibri"/>
          <w:i/>
          <w:iCs/>
        </w:rPr>
        <w:t>et al.</w:t>
      </w:r>
      <w:r w:rsidRPr="000B5595">
        <w:rPr>
          <w:rFonts w:ascii="Calibri" w:hAnsi="Calibri" w:cs="Calibri"/>
        </w:rPr>
        <w:t xml:space="preserve"> Sorafenib Maintenance After Allogeneic Hematopoietic Stem Cell Transplantation for Acute Myeloid Leukemia With FLT3-Internal Tandem Duplication Mutation (SORMAIN). </w:t>
      </w:r>
      <w:r w:rsidRPr="000B5595">
        <w:rPr>
          <w:rFonts w:ascii="Calibri" w:hAnsi="Calibri" w:cs="Calibri"/>
          <w:i/>
          <w:iCs/>
        </w:rPr>
        <w:t>J Clin Oncol Off J Am Soc Clin Oncol</w:t>
      </w:r>
      <w:r w:rsidRPr="000B5595">
        <w:rPr>
          <w:rFonts w:ascii="Calibri" w:hAnsi="Calibri" w:cs="Calibri"/>
        </w:rPr>
        <w:t xml:space="preserve"> 2020; </w:t>
      </w:r>
      <w:r w:rsidRPr="000B5595">
        <w:rPr>
          <w:rFonts w:ascii="Calibri" w:hAnsi="Calibri" w:cs="Calibri"/>
          <w:b/>
          <w:bCs/>
        </w:rPr>
        <w:t>38</w:t>
      </w:r>
      <w:r w:rsidRPr="000B5595">
        <w:rPr>
          <w:rFonts w:ascii="Calibri" w:hAnsi="Calibri" w:cs="Calibri"/>
        </w:rPr>
        <w:t>: 2993–3002.</w:t>
      </w:r>
    </w:p>
    <w:p w14:paraId="732744DD" w14:textId="77777777" w:rsidR="000B5595" w:rsidRPr="000B5595" w:rsidRDefault="000B5595" w:rsidP="000B5595">
      <w:pPr>
        <w:pStyle w:val="Bibliography"/>
        <w:rPr>
          <w:rFonts w:ascii="Calibri" w:hAnsi="Calibri" w:cs="Calibri"/>
        </w:rPr>
      </w:pPr>
      <w:r w:rsidRPr="000B5595">
        <w:rPr>
          <w:rFonts w:ascii="Calibri" w:hAnsi="Calibri" w:cs="Calibri"/>
        </w:rPr>
        <w:lastRenderedPageBreak/>
        <w:t>14</w:t>
      </w:r>
      <w:r w:rsidRPr="000B5595">
        <w:rPr>
          <w:rFonts w:ascii="Calibri" w:hAnsi="Calibri" w:cs="Calibri"/>
        </w:rPr>
        <w:tab/>
        <w:t>Regulation (EU) 2022/123 of the European Parliament and of the Council of 25 January 2022 on a reinforced role for the European Medicines Agency in crisis preparedness and management for medicinal products and medical devices (Text with EEA relevance). 2022 http://data.europa.eu/eli/reg/2022/123/oj/eng (accessed Dec 7, 2022).</w:t>
      </w:r>
    </w:p>
    <w:p w14:paraId="2C4C6F79" w14:textId="7699345D" w:rsidR="00B461E8" w:rsidRDefault="00B461E8" w:rsidP="001F0DA1">
      <w:r>
        <w:fldChar w:fldCharType="end"/>
      </w:r>
    </w:p>
    <w:sectPr w:rsidR="00B461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F22"/>
    <w:multiLevelType w:val="hybridMultilevel"/>
    <w:tmpl w:val="24EA6D72"/>
    <w:lvl w:ilvl="0" w:tplc="6DCCCBA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522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A1"/>
    <w:rsid w:val="00007F55"/>
    <w:rsid w:val="00013483"/>
    <w:rsid w:val="000175A5"/>
    <w:rsid w:val="000232A9"/>
    <w:rsid w:val="0005386B"/>
    <w:rsid w:val="00075CF1"/>
    <w:rsid w:val="000A2239"/>
    <w:rsid w:val="000B5595"/>
    <w:rsid w:val="000D2F5D"/>
    <w:rsid w:val="000E2274"/>
    <w:rsid w:val="000F57DB"/>
    <w:rsid w:val="00110892"/>
    <w:rsid w:val="00113BEE"/>
    <w:rsid w:val="00136080"/>
    <w:rsid w:val="00160024"/>
    <w:rsid w:val="00170118"/>
    <w:rsid w:val="0017636E"/>
    <w:rsid w:val="001820F3"/>
    <w:rsid w:val="001934C5"/>
    <w:rsid w:val="001E68D1"/>
    <w:rsid w:val="001F0DA1"/>
    <w:rsid w:val="001F7036"/>
    <w:rsid w:val="00217BB3"/>
    <w:rsid w:val="002241E7"/>
    <w:rsid w:val="002360DE"/>
    <w:rsid w:val="00254675"/>
    <w:rsid w:val="00255CC7"/>
    <w:rsid w:val="0029606D"/>
    <w:rsid w:val="002E1E0E"/>
    <w:rsid w:val="002F1E38"/>
    <w:rsid w:val="00314A41"/>
    <w:rsid w:val="00340522"/>
    <w:rsid w:val="00342D9D"/>
    <w:rsid w:val="003760E8"/>
    <w:rsid w:val="00402362"/>
    <w:rsid w:val="00446146"/>
    <w:rsid w:val="004A4F25"/>
    <w:rsid w:val="004B29A4"/>
    <w:rsid w:val="004B3509"/>
    <w:rsid w:val="004D799D"/>
    <w:rsid w:val="004F0F96"/>
    <w:rsid w:val="004F7288"/>
    <w:rsid w:val="00524C85"/>
    <w:rsid w:val="0055260B"/>
    <w:rsid w:val="00561493"/>
    <w:rsid w:val="00591503"/>
    <w:rsid w:val="005A66BC"/>
    <w:rsid w:val="006300BF"/>
    <w:rsid w:val="00636102"/>
    <w:rsid w:val="006A1356"/>
    <w:rsid w:val="006C539D"/>
    <w:rsid w:val="00737567"/>
    <w:rsid w:val="00743C14"/>
    <w:rsid w:val="00795F4C"/>
    <w:rsid w:val="007A607D"/>
    <w:rsid w:val="007E603B"/>
    <w:rsid w:val="008009ED"/>
    <w:rsid w:val="00806561"/>
    <w:rsid w:val="00815FBC"/>
    <w:rsid w:val="00841B03"/>
    <w:rsid w:val="00850346"/>
    <w:rsid w:val="008526ED"/>
    <w:rsid w:val="00872F07"/>
    <w:rsid w:val="00873594"/>
    <w:rsid w:val="00877B1F"/>
    <w:rsid w:val="00886A10"/>
    <w:rsid w:val="00906DA4"/>
    <w:rsid w:val="009102C5"/>
    <w:rsid w:val="00914FAC"/>
    <w:rsid w:val="009305F5"/>
    <w:rsid w:val="00935F77"/>
    <w:rsid w:val="00941E91"/>
    <w:rsid w:val="009530ED"/>
    <w:rsid w:val="00961E6A"/>
    <w:rsid w:val="0096291B"/>
    <w:rsid w:val="00980A89"/>
    <w:rsid w:val="009F026E"/>
    <w:rsid w:val="00A20B29"/>
    <w:rsid w:val="00A30C58"/>
    <w:rsid w:val="00A31584"/>
    <w:rsid w:val="00A647FC"/>
    <w:rsid w:val="00A77FF8"/>
    <w:rsid w:val="00A90AC2"/>
    <w:rsid w:val="00AC4A0E"/>
    <w:rsid w:val="00AE3FFD"/>
    <w:rsid w:val="00AF4E17"/>
    <w:rsid w:val="00B23E95"/>
    <w:rsid w:val="00B461E8"/>
    <w:rsid w:val="00B80DAF"/>
    <w:rsid w:val="00BC0DDE"/>
    <w:rsid w:val="00BE4D2F"/>
    <w:rsid w:val="00BF2F03"/>
    <w:rsid w:val="00C04BCF"/>
    <w:rsid w:val="00C04CC8"/>
    <w:rsid w:val="00C17136"/>
    <w:rsid w:val="00C853B6"/>
    <w:rsid w:val="00C9147D"/>
    <w:rsid w:val="00CD688E"/>
    <w:rsid w:val="00CE1DCF"/>
    <w:rsid w:val="00D079C3"/>
    <w:rsid w:val="00D12503"/>
    <w:rsid w:val="00D50A83"/>
    <w:rsid w:val="00D931CD"/>
    <w:rsid w:val="00DB71E6"/>
    <w:rsid w:val="00DC2B12"/>
    <w:rsid w:val="00E6597C"/>
    <w:rsid w:val="00EA5780"/>
    <w:rsid w:val="00F04B64"/>
    <w:rsid w:val="00F35479"/>
    <w:rsid w:val="00F50B2E"/>
    <w:rsid w:val="00F834BF"/>
    <w:rsid w:val="00F93ACE"/>
    <w:rsid w:val="00F97609"/>
    <w:rsid w:val="00FC6BC5"/>
    <w:rsid w:val="00FD2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9907"/>
  <w15:chartTrackingRefBased/>
  <w15:docId w15:val="{31DA813C-89FE-4CD8-8E20-AB4CA504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B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4B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4B64"/>
    <w:pPr>
      <w:keepNext/>
      <w:keepLines/>
      <w:spacing w:before="200" w:after="0" w:line="240" w:lineRule="auto"/>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B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04B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04B64"/>
    <w:rPr>
      <w:rFonts w:asciiTheme="majorHAnsi" w:eastAsiaTheme="majorEastAsia" w:hAnsiTheme="majorHAnsi" w:cstheme="majorBidi"/>
      <w:b/>
      <w:bCs/>
      <w:color w:val="4F81BD" w:themeColor="accent1"/>
      <w:lang w:eastAsia="en-US"/>
    </w:rPr>
  </w:style>
  <w:style w:type="character" w:styleId="CommentReference">
    <w:name w:val="annotation reference"/>
    <w:basedOn w:val="DefaultParagraphFont"/>
    <w:uiPriority w:val="99"/>
    <w:semiHidden/>
    <w:unhideWhenUsed/>
    <w:rsid w:val="001E68D1"/>
    <w:rPr>
      <w:sz w:val="16"/>
      <w:szCs w:val="16"/>
    </w:rPr>
  </w:style>
  <w:style w:type="paragraph" w:styleId="CommentText">
    <w:name w:val="annotation text"/>
    <w:basedOn w:val="Normal"/>
    <w:link w:val="CommentTextChar"/>
    <w:uiPriority w:val="99"/>
    <w:unhideWhenUsed/>
    <w:rsid w:val="001E68D1"/>
    <w:pPr>
      <w:spacing w:line="240" w:lineRule="auto"/>
    </w:pPr>
    <w:rPr>
      <w:sz w:val="20"/>
      <w:szCs w:val="20"/>
    </w:rPr>
  </w:style>
  <w:style w:type="character" w:customStyle="1" w:styleId="CommentTextChar">
    <w:name w:val="Comment Text Char"/>
    <w:basedOn w:val="DefaultParagraphFont"/>
    <w:link w:val="CommentText"/>
    <w:uiPriority w:val="99"/>
    <w:rsid w:val="001E68D1"/>
    <w:rPr>
      <w:sz w:val="20"/>
      <w:szCs w:val="20"/>
    </w:rPr>
  </w:style>
  <w:style w:type="character" w:styleId="Hyperlink">
    <w:name w:val="Hyperlink"/>
    <w:basedOn w:val="DefaultParagraphFont"/>
    <w:uiPriority w:val="99"/>
    <w:unhideWhenUsed/>
    <w:rsid w:val="001E68D1"/>
    <w:rPr>
      <w:color w:val="0000FF" w:themeColor="hyperlink"/>
      <w:u w:val="single"/>
    </w:rPr>
  </w:style>
  <w:style w:type="paragraph" w:styleId="Bibliography">
    <w:name w:val="Bibliography"/>
    <w:basedOn w:val="Normal"/>
    <w:next w:val="Normal"/>
    <w:uiPriority w:val="37"/>
    <w:unhideWhenUsed/>
    <w:rsid w:val="00B461E8"/>
    <w:pPr>
      <w:tabs>
        <w:tab w:val="left" w:pos="144"/>
      </w:tabs>
      <w:spacing w:after="240" w:line="240" w:lineRule="auto"/>
      <w:ind w:left="144" w:hanging="144"/>
    </w:pPr>
  </w:style>
  <w:style w:type="paragraph" w:styleId="CommentSubject">
    <w:name w:val="annotation subject"/>
    <w:basedOn w:val="CommentText"/>
    <w:next w:val="CommentText"/>
    <w:link w:val="CommentSubjectChar"/>
    <w:uiPriority w:val="99"/>
    <w:semiHidden/>
    <w:unhideWhenUsed/>
    <w:rsid w:val="0017636E"/>
    <w:rPr>
      <w:b/>
      <w:bCs/>
    </w:rPr>
  </w:style>
  <w:style w:type="character" w:customStyle="1" w:styleId="CommentSubjectChar">
    <w:name w:val="Comment Subject Char"/>
    <w:basedOn w:val="CommentTextChar"/>
    <w:link w:val="CommentSubject"/>
    <w:uiPriority w:val="99"/>
    <w:semiHidden/>
    <w:rsid w:val="0017636E"/>
    <w:rPr>
      <w:b/>
      <w:bCs/>
      <w:sz w:val="20"/>
      <w:szCs w:val="20"/>
    </w:rPr>
  </w:style>
  <w:style w:type="paragraph" w:styleId="Revision">
    <w:name w:val="Revision"/>
    <w:hidden/>
    <w:uiPriority w:val="99"/>
    <w:semiHidden/>
    <w:rsid w:val="002241E7"/>
    <w:pPr>
      <w:spacing w:after="0" w:line="240" w:lineRule="auto"/>
    </w:pPr>
  </w:style>
  <w:style w:type="paragraph" w:styleId="ListParagraph">
    <w:name w:val="List Paragraph"/>
    <w:basedOn w:val="Normal"/>
    <w:uiPriority w:val="34"/>
    <w:qFormat/>
    <w:rsid w:val="00636102"/>
    <w:pPr>
      <w:ind w:left="720"/>
      <w:contextualSpacing/>
    </w:pPr>
  </w:style>
  <w:style w:type="character" w:styleId="UnresolvedMention">
    <w:name w:val="Unresolved Mention"/>
    <w:basedOn w:val="DefaultParagraphFont"/>
    <w:uiPriority w:val="99"/>
    <w:semiHidden/>
    <w:unhideWhenUsed/>
    <w:rsid w:val="00636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pantziarka@anticancerfund.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lancet.com/journals/lancet/article/PIIS0140-6736(23)00633-5/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5114B1BCB9E4FBF64A43CC1413501" ma:contentTypeVersion="17" ma:contentTypeDescription="Create a new document." ma:contentTypeScope="" ma:versionID="3cf74aa2f2eab1b41620750b6c631713">
  <xsd:schema xmlns:xsd="http://www.w3.org/2001/XMLSchema" xmlns:xs="http://www.w3.org/2001/XMLSchema" xmlns:p="http://schemas.microsoft.com/office/2006/metadata/properties" xmlns:ns2="ecb760d6-2afe-434c-a154-7451dc664547" xmlns:ns3="http://schemas.microsoft.com/sharepoint/v4" xmlns:ns4="1436b5b9-07dc-496d-a7c7-c8bb18bdb7be" targetNamespace="http://schemas.microsoft.com/office/2006/metadata/properties" ma:root="true" ma:fieldsID="7c978a5e877681713884110921abf628" ns2:_="" ns3:_="" ns4:_="">
    <xsd:import namespace="ecb760d6-2afe-434c-a154-7451dc664547"/>
    <xsd:import namespace="http://schemas.microsoft.com/sharepoint/v4"/>
    <xsd:import namespace="1436b5b9-07dc-496d-a7c7-c8bb18bdb7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IconOverlay" minOccurs="0"/>
                <xsd:element ref="ns4:SharedWithUsers" minOccurs="0"/>
                <xsd:element ref="ns4: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760d6-2afe-434c-a154-7451dc664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15a3185-87d0-4579-8b63-8c9186bea7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36b5b9-07dc-496d-a7c7-c8bb18bdb7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a6ede16-eacf-40a4-957f-c4f89350170c}" ma:internalName="TaxCatchAll" ma:showField="CatchAllData" ma:web="1436b5b9-07dc-496d-a7c7-c8bb18bdb7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36b5b9-07dc-496d-a7c7-c8bb18bdb7be" xsi:nil="true"/>
    <IconOverlay xmlns="http://schemas.microsoft.com/sharepoint/v4" xsi:nil="true"/>
    <lcf76f155ced4ddcb4097134ff3c332f xmlns="ecb760d6-2afe-434c-a154-7451dc6645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27443E-47D9-4216-B095-E51EB31C7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760d6-2afe-434c-a154-7451dc664547"/>
    <ds:schemaRef ds:uri="http://schemas.microsoft.com/sharepoint/v4"/>
    <ds:schemaRef ds:uri="1436b5b9-07dc-496d-a7c7-c8bb18bdb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861EC-26AF-4675-B6A6-7DFA4D533BCA}">
  <ds:schemaRefs>
    <ds:schemaRef ds:uri="http://schemas.microsoft.com/sharepoint/v3/contenttype/forms"/>
  </ds:schemaRefs>
</ds:datastoreItem>
</file>

<file path=customXml/itemProps3.xml><?xml version="1.0" encoding="utf-8"?>
<ds:datastoreItem xmlns:ds="http://schemas.openxmlformats.org/officeDocument/2006/customXml" ds:itemID="{84DAC2CB-2D34-460E-97C9-7DC1719E48D9}">
  <ds:schemaRefs>
    <ds:schemaRef ds:uri="http://purl.org/dc/dcmitype/"/>
    <ds:schemaRef ds:uri="http://schemas.microsoft.com/office/2006/metadata/properties"/>
    <ds:schemaRef ds:uri="ecb760d6-2afe-434c-a154-7451dc664547"/>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microsoft.com/sharepoint/v4"/>
    <ds:schemaRef ds:uri="1436b5b9-07dc-496d-a7c7-c8bb18bdb7b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7121</Words>
  <Characters>40591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Pantziarka</dc:creator>
  <cp:keywords/>
  <dc:description/>
  <cp:lastModifiedBy>Pan Pantziarka</cp:lastModifiedBy>
  <cp:revision>5</cp:revision>
  <dcterms:created xsi:type="dcterms:W3CDTF">2023-04-13T13:19:00Z</dcterms:created>
  <dcterms:modified xsi:type="dcterms:W3CDTF">2023-04-13T13:26:00Z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id="pxh24xEa"/&gt;&lt;style id="http://www.zotero.org/styles/the-lancet" hasBibliography="1" bibliographyStyleHasBeenSet="1"/&gt;&lt;prefs&gt;&lt;pref name="fieldType" value="Field"/&gt;&lt;pref name="automaticJournalAbbrev</vt:lpwstr>
  </property>
  <property fmtid="{D5CDD505-2E9C-101B-9397-08002B2CF9AE}" pid="3" name="ZOTERO_PREF_2">
    <vt:lpwstr>iations" value="true"/&gt;&lt;/prefs&gt;&lt;/data&gt;</vt:lpwstr>
  </property>
  <property fmtid="{D5CDD505-2E9C-101B-9397-08002B2CF9AE}" pid="4" name="ContentTypeId">
    <vt:lpwstr>0x0101003305114B1BCB9E4FBF64A43CC1413501</vt:lpwstr>
  </property>
  <property fmtid="{D5CDD505-2E9C-101B-9397-08002B2CF9AE}" pid="5" name="MediaServiceImageTags">
    <vt:lpwstr/>
  </property>
  <property fmtid="{D5CDD505-2E9C-101B-9397-08002B2CF9AE}" pid="6" name="GrammarlyDocumentId">
    <vt:lpwstr>cc24b99bce67e9eb283293247b68a3c317557c84bf6f6dfc632b08fd766a8367</vt:lpwstr>
  </property>
</Properties>
</file>